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4EEE84" w14:textId="77777777" w:rsidR="00B85C37" w:rsidRPr="00C168F9" w:rsidRDefault="00000000">
      <w:pPr>
        <w:spacing w:line="360" w:lineRule="auto"/>
        <w:rPr>
          <w:rFonts w:ascii="仿宋_GB2312" w:hAnsi="黑体" w:hint="eastAsia"/>
        </w:rPr>
      </w:pPr>
      <w:r w:rsidRPr="00C168F9">
        <w:rPr>
          <w:rFonts w:ascii="仿宋_GB2312" w:hAnsi="黑体" w:hint="eastAsia"/>
        </w:rPr>
        <w:t>附件2：</w:t>
      </w:r>
    </w:p>
    <w:p w14:paraId="4D2124D4" w14:textId="77777777" w:rsidR="00B85C37" w:rsidRPr="00C168F9" w:rsidRDefault="00000000">
      <w:pPr>
        <w:spacing w:line="360" w:lineRule="auto"/>
        <w:jc w:val="center"/>
        <w:rPr>
          <w:rFonts w:ascii="仿宋_GB2312" w:hAnsi="黑体" w:cs="Arial" w:hint="eastAsia"/>
          <w:sz w:val="36"/>
          <w:szCs w:val="36"/>
        </w:rPr>
      </w:pPr>
      <w:r w:rsidRPr="00C168F9">
        <w:rPr>
          <w:rFonts w:ascii="仿宋_GB2312" w:hAnsi="黑体" w:cs="Arial" w:hint="eastAsia"/>
          <w:sz w:val="36"/>
          <w:szCs w:val="36"/>
        </w:rPr>
        <w:t>昌吉州木垒哈萨克自治县人民医院医疗服务能力提升项目支出绩效评价报告</w:t>
      </w:r>
    </w:p>
    <w:p w14:paraId="0B8EC1FE" w14:textId="77777777" w:rsidR="00B85C37" w:rsidRPr="00C168F9" w:rsidRDefault="00000000">
      <w:pPr>
        <w:pStyle w:val="1"/>
        <w:spacing w:line="360" w:lineRule="auto"/>
        <w:rPr>
          <w:rFonts w:ascii="仿宋_GB2312" w:hAnsi="黑体" w:hint="eastAsia"/>
          <w:b w:val="0"/>
          <w:bCs w:val="0"/>
        </w:rPr>
      </w:pPr>
      <w:r w:rsidRPr="00C168F9">
        <w:rPr>
          <w:rFonts w:ascii="仿宋_GB2312" w:hAnsi="黑体" w:hint="eastAsia"/>
          <w:b w:val="0"/>
          <w:bCs w:val="0"/>
        </w:rPr>
        <w:t>一、基本情况</w:t>
      </w:r>
    </w:p>
    <w:p w14:paraId="7EB4F31A" w14:textId="77777777" w:rsidR="00B85C37" w:rsidRPr="00C168F9" w:rsidRDefault="00000000">
      <w:pPr>
        <w:pStyle w:val="2"/>
        <w:spacing w:line="360" w:lineRule="auto"/>
        <w:rPr>
          <w:rFonts w:ascii="仿宋_GB2312" w:eastAsia="仿宋_GB2312" w:hAnsi="黑体" w:hint="eastAsia"/>
          <w:b w:val="0"/>
          <w:bCs w:val="0"/>
        </w:rPr>
      </w:pPr>
      <w:r w:rsidRPr="00C168F9">
        <w:rPr>
          <w:rFonts w:ascii="仿宋_GB2312" w:eastAsia="仿宋_GB2312" w:hAnsi="黑体" w:hint="eastAsia"/>
          <w:b w:val="0"/>
          <w:bCs w:val="0"/>
        </w:rPr>
        <w:t>（一）项目概况</w:t>
      </w:r>
    </w:p>
    <w:p w14:paraId="7EDF37BC"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1.项目背景</w:t>
      </w:r>
    </w:p>
    <w:p w14:paraId="546A1AE9"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根据自治区财政厅《关于下达 2023年中央财政医疗服务与保障能力提升(医疗卫生机构能力建设)补助资金预算的通知》(</w:t>
      </w:r>
      <w:proofErr w:type="gramStart"/>
      <w:r w:rsidRPr="00C168F9">
        <w:rPr>
          <w:rFonts w:ascii="仿宋_GB2312" w:hAnsi="黑体" w:hint="eastAsia"/>
        </w:rPr>
        <w:t>财社</w:t>
      </w:r>
      <w:proofErr w:type="gramEnd"/>
      <w:r w:rsidRPr="00C168F9">
        <w:rPr>
          <w:rFonts w:ascii="仿宋_GB2312" w:hAnsi="黑体" w:hint="eastAsia"/>
        </w:rPr>
        <w:t>[2022]52号)，用于进一步加强医疗卫生机构能力建设，推动优质医疗资源扩容和区域均衡布局，支持临床重点专科建设及符合条件的医疗机构的能力建设。</w:t>
      </w:r>
    </w:p>
    <w:p w14:paraId="059740FA"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随着社会经济的发展，医疗水平问题越来越引起人们的关注。医患关系的协调，已成为医疗系统部门需要解决的重要问题之一。亟待解决的主要问题。</w:t>
      </w:r>
    </w:p>
    <w:p w14:paraId="16A4729E" w14:textId="77777777" w:rsidR="00B85C37" w:rsidRPr="00C168F9" w:rsidRDefault="00000000">
      <w:pPr>
        <w:spacing w:line="360" w:lineRule="auto"/>
        <w:ind w:firstLineChars="100" w:firstLine="300"/>
        <w:rPr>
          <w:rFonts w:ascii="仿宋_GB2312" w:hAnsi="黑体" w:hint="eastAsia"/>
        </w:rPr>
      </w:pPr>
      <w:r w:rsidRPr="00C168F9">
        <w:rPr>
          <w:rFonts w:ascii="仿宋_GB2312" w:hAnsi="黑体" w:hint="eastAsia"/>
        </w:rPr>
        <w:t>2.项目主要内容</w:t>
      </w:r>
    </w:p>
    <w:p w14:paraId="3DCDC8ED"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昌</w:t>
      </w:r>
      <w:proofErr w:type="gramStart"/>
      <w:r w:rsidRPr="00C168F9">
        <w:rPr>
          <w:rFonts w:ascii="仿宋_GB2312" w:hAnsi="黑体" w:hint="eastAsia"/>
        </w:rPr>
        <w:t>州财社</w:t>
      </w:r>
      <w:proofErr w:type="gramEnd"/>
      <w:r w:rsidRPr="00C168F9">
        <w:rPr>
          <w:rFonts w:ascii="仿宋_GB2312" w:hAnsi="黑体" w:hint="eastAsia"/>
        </w:rPr>
        <w:t>[2022]52号《关于下达 2023年中央财政医疗服务与保障能力提升(医疗卫生机构能力建设)补助资金预算的通知》批复，下达项目资金200万元，主要用于木垒县医共体信息化建设软件和</w:t>
      </w:r>
      <w:r w:rsidRPr="00C168F9">
        <w:rPr>
          <w:rFonts w:ascii="仿宋_GB2312" w:hAnsi="黑体" w:hint="eastAsia"/>
        </w:rPr>
        <w:lastRenderedPageBreak/>
        <w:t>硬件采购，购置医共</w:t>
      </w:r>
      <w:proofErr w:type="gramStart"/>
      <w:r w:rsidRPr="00C168F9">
        <w:rPr>
          <w:rFonts w:ascii="仿宋_GB2312" w:hAnsi="黑体" w:hint="eastAsia"/>
        </w:rPr>
        <w:t>体管理</w:t>
      </w:r>
      <w:proofErr w:type="gramEnd"/>
      <w:r w:rsidRPr="00C168F9">
        <w:rPr>
          <w:rFonts w:ascii="仿宋_GB2312" w:hAnsi="黑体" w:hint="eastAsia"/>
        </w:rPr>
        <w:t>平台系统、病历质控中心系统、医共体绩效监测平台系统、医共</w:t>
      </w:r>
      <w:proofErr w:type="gramStart"/>
      <w:r w:rsidRPr="00C168F9">
        <w:rPr>
          <w:rFonts w:ascii="仿宋_GB2312" w:hAnsi="黑体" w:hint="eastAsia"/>
        </w:rPr>
        <w:t>体数据</w:t>
      </w:r>
      <w:proofErr w:type="gramEnd"/>
      <w:r w:rsidRPr="00C168F9">
        <w:rPr>
          <w:rFonts w:ascii="仿宋_GB2312" w:hAnsi="黑体" w:hint="eastAsia"/>
        </w:rPr>
        <w:t>支撑中心系统应用系统业务融合服务接口开发，硬件大屏展示(含屏)应用服务器、存储服务器、交换机、前置服务器、容灾备份一体机、远程会诊室装修、县医院会诊室装修、U</w:t>
      </w:r>
      <w:proofErr w:type="gramStart"/>
      <w:r w:rsidRPr="00C168F9">
        <w:rPr>
          <w:rFonts w:ascii="仿宋_GB2312" w:hAnsi="黑体" w:hint="eastAsia"/>
        </w:rPr>
        <w:t>型桌</w:t>
      </w:r>
      <w:proofErr w:type="gramEnd"/>
      <w:r w:rsidRPr="00C168F9">
        <w:rPr>
          <w:rFonts w:ascii="仿宋_GB2312" w:hAnsi="黑体" w:hint="eastAsia"/>
        </w:rPr>
        <w:t>(含12把椅子)，计算机、打印机等。</w:t>
      </w:r>
    </w:p>
    <w:p w14:paraId="1AA20869"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3.项目实施情况</w:t>
      </w:r>
    </w:p>
    <w:p w14:paraId="55297597"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本项目由木垒县人民医院牵头，主要用于木垒县</w:t>
      </w:r>
      <w:proofErr w:type="gramStart"/>
      <w:r w:rsidRPr="00C168F9">
        <w:rPr>
          <w:rFonts w:ascii="仿宋_GB2312" w:hAnsi="黑体" w:hint="eastAsia"/>
        </w:rPr>
        <w:t>医</w:t>
      </w:r>
      <w:proofErr w:type="gramEnd"/>
      <w:r w:rsidRPr="00C168F9">
        <w:rPr>
          <w:rFonts w:ascii="仿宋_GB2312" w:hAnsi="黑体" w:hint="eastAsia"/>
        </w:rPr>
        <w:t>共体信息化建设软件和硬件采购。</w:t>
      </w:r>
    </w:p>
    <w:p w14:paraId="32910CB4"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2023年中央财政医疗服务与保障能力提升(医疗卫生机构能力建设)项目2023年1月1日由招标采购部门通过公开招标方式确定了新疆万利科技有限公司单位为项目的供货/安装单位，远程会诊软件及硬件、会议中心建设由供应商运抵木垒县人民医院处后，由单位信息部蔡洁主任负责核对数量及质量后办理接收登记进行安装，2023年12月31日设备安装完毕后，由信息</w:t>
      </w:r>
      <w:proofErr w:type="gramStart"/>
      <w:r w:rsidRPr="00C168F9">
        <w:rPr>
          <w:rFonts w:ascii="仿宋_GB2312" w:hAnsi="黑体" w:hint="eastAsia"/>
        </w:rPr>
        <w:t>科部门</w:t>
      </w:r>
      <w:proofErr w:type="gramEnd"/>
      <w:r w:rsidRPr="00C168F9">
        <w:rPr>
          <w:rFonts w:ascii="仿宋_GB2312" w:hAnsi="黑体" w:hint="eastAsia"/>
        </w:rPr>
        <w:t>主任组织对项目进行验收，并签署了设备验收合格报告。</w:t>
      </w:r>
    </w:p>
    <w:p w14:paraId="01A12FFC"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4.资金投入和使用情况</w:t>
      </w:r>
    </w:p>
    <w:p w14:paraId="1FBA7AD1"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2023年中央财政医疗服务与保障能力提升(医疗卫生机构能力建设)项目资金于2023年5月1日新疆维吾尔自治区/木垒县财政局下发的昌</w:t>
      </w:r>
      <w:proofErr w:type="gramStart"/>
      <w:r w:rsidRPr="00C168F9">
        <w:rPr>
          <w:rFonts w:ascii="仿宋_GB2312" w:hAnsi="黑体" w:hint="eastAsia"/>
        </w:rPr>
        <w:t>州财社</w:t>
      </w:r>
      <w:proofErr w:type="gramEnd"/>
      <w:r w:rsidRPr="00C168F9">
        <w:rPr>
          <w:rFonts w:ascii="仿宋_GB2312" w:hAnsi="黑体" w:hint="eastAsia"/>
        </w:rPr>
        <w:t>[2022]52号文件安排资金为200万元，为上级财政资金，实际到位率200万元，资金到位率100%，实际执行200万元，执行率100%，资金落实到位。为确保项目资金的安全有效使用、安</w:t>
      </w:r>
      <w:r w:rsidRPr="00C168F9">
        <w:rPr>
          <w:rFonts w:ascii="仿宋_GB2312" w:hAnsi="黑体" w:hint="eastAsia"/>
        </w:rPr>
        <w:lastRenderedPageBreak/>
        <w:t>全运行，提高资金的使用效率，我单位严格按照木垒哈萨克自治县人民医院财务会计内部控制制度执行，资金由财政大平台统一拨付，由财政监管，严禁随意调整预算，改变支出用途，做到专款专用，严禁截留、挪用、挤占项目资金等违规违纪问题的发生。</w:t>
      </w:r>
    </w:p>
    <w:p w14:paraId="5006541B" w14:textId="77777777" w:rsidR="00B85C37" w:rsidRPr="00C168F9" w:rsidRDefault="00000000">
      <w:pPr>
        <w:pStyle w:val="2"/>
        <w:spacing w:line="360" w:lineRule="auto"/>
        <w:rPr>
          <w:rFonts w:ascii="仿宋_GB2312" w:eastAsia="仿宋_GB2312" w:hAnsi="黑体" w:hint="eastAsia"/>
          <w:b w:val="0"/>
          <w:bCs w:val="0"/>
        </w:rPr>
      </w:pPr>
      <w:r w:rsidRPr="00C168F9">
        <w:rPr>
          <w:rFonts w:ascii="仿宋_GB2312" w:eastAsia="仿宋_GB2312" w:hAnsi="黑体" w:hint="eastAsia"/>
          <w:b w:val="0"/>
          <w:bCs w:val="0"/>
        </w:rPr>
        <w:t>（二）项目绩效目标</w:t>
      </w:r>
    </w:p>
    <w:p w14:paraId="1DD56D49" w14:textId="77777777" w:rsidR="00B85C37" w:rsidRPr="00C168F9" w:rsidRDefault="00000000">
      <w:pPr>
        <w:spacing w:line="360" w:lineRule="auto"/>
        <w:ind w:left="600"/>
        <w:rPr>
          <w:rFonts w:ascii="仿宋_GB2312" w:hAnsi="黑体" w:hint="eastAsia"/>
        </w:rPr>
      </w:pPr>
      <w:r w:rsidRPr="00C168F9">
        <w:rPr>
          <w:rFonts w:ascii="仿宋_GB2312" w:hAnsi="黑体" w:hint="eastAsia"/>
        </w:rPr>
        <w:t>1.总体目标</w:t>
      </w:r>
    </w:p>
    <w:p w14:paraId="1FCE40AB"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依据昌</w:t>
      </w:r>
      <w:proofErr w:type="gramStart"/>
      <w:r w:rsidRPr="00C168F9">
        <w:rPr>
          <w:rFonts w:ascii="仿宋_GB2312" w:hAnsi="黑体" w:hint="eastAsia"/>
        </w:rPr>
        <w:t>州财社</w:t>
      </w:r>
      <w:proofErr w:type="gramEnd"/>
      <w:r w:rsidRPr="00C168F9">
        <w:rPr>
          <w:rFonts w:ascii="仿宋_GB2312" w:hAnsi="黑体" w:hint="eastAsia"/>
        </w:rPr>
        <w:t>【2022】52号文件要求，计划关于拨付2022年中央医疗服务与保障能力提升（医疗卫生机构能力建设）补助资金（第二批）文件，结合县医院临床专科建设基础，通过重点专科建设、县域医共体、设备采购、技术引进等，进一步完善县域医疗卫 生服务体系，不断满足县域患者不同层次的看病就医需求。</w:t>
      </w:r>
    </w:p>
    <w:p w14:paraId="4693ADF9"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2.阶段性目标</w:t>
      </w:r>
    </w:p>
    <w:p w14:paraId="2A85F8BC" w14:textId="77777777" w:rsidR="00B85C37" w:rsidRPr="00C168F9" w:rsidRDefault="00000000">
      <w:pPr>
        <w:pStyle w:val="a7"/>
        <w:spacing w:line="360" w:lineRule="auto"/>
        <w:ind w:firstLineChars="200" w:firstLine="560"/>
        <w:rPr>
          <w:rFonts w:ascii="仿宋_GB2312" w:hAnsi="黑体" w:hint="eastAsia"/>
          <w:sz w:val="30"/>
          <w:szCs w:val="24"/>
        </w:rPr>
      </w:pPr>
      <w:r w:rsidRPr="00C168F9">
        <w:rPr>
          <w:rFonts w:ascii="宋体" w:eastAsia="宋体" w:hAnsi="宋体" w:cs="宋体" w:hint="eastAsia"/>
          <w:sz w:val="28"/>
          <w:szCs w:val="28"/>
        </w:rPr>
        <w:t>2.1</w:t>
      </w:r>
      <w:r w:rsidRPr="00C168F9">
        <w:rPr>
          <w:rFonts w:ascii="仿宋_GB2312" w:hAnsi="黑体" w:hint="eastAsia"/>
          <w:sz w:val="30"/>
          <w:szCs w:val="24"/>
        </w:rPr>
        <w:t xml:space="preserve"> 2023年6月31日前完成远程会诊软件及硬件、会议中心建设工作。其中系统管理1套：35万元；医疗数据管理系统1套：28万元；系统分析1套：20万元；双向转诊（基础组件）、远程教育培训平台1套：15万元；远程/区域协同(可选)1套:20万元；系统集成与实施服务1套:27万元</w:t>
      </w:r>
    </w:p>
    <w:p w14:paraId="70A3FE83" w14:textId="77777777" w:rsidR="00B85C37" w:rsidRPr="00C168F9" w:rsidRDefault="00000000">
      <w:pPr>
        <w:pStyle w:val="a7"/>
        <w:spacing w:line="360" w:lineRule="auto"/>
        <w:ind w:firstLineChars="200" w:firstLine="560"/>
        <w:rPr>
          <w:rFonts w:ascii="仿宋_GB2312" w:hAnsi="黑体" w:hint="eastAsia"/>
          <w:sz w:val="30"/>
          <w:szCs w:val="24"/>
        </w:rPr>
      </w:pPr>
      <w:r w:rsidRPr="00C168F9">
        <w:rPr>
          <w:rFonts w:ascii="宋体" w:eastAsia="宋体" w:hAnsi="宋体" w:cs="宋体" w:hint="eastAsia"/>
          <w:sz w:val="28"/>
          <w:szCs w:val="28"/>
        </w:rPr>
        <w:t xml:space="preserve">2.2 </w:t>
      </w:r>
      <w:r w:rsidRPr="00C168F9">
        <w:rPr>
          <w:rFonts w:ascii="仿宋_GB2312" w:hAnsi="黑体" w:hint="eastAsia"/>
          <w:sz w:val="30"/>
          <w:szCs w:val="24"/>
        </w:rPr>
        <w:t xml:space="preserve">2023年12月31日前完成配套物资采购安装工作（75 </w:t>
      </w:r>
      <w:proofErr w:type="gramStart"/>
      <w:r w:rsidRPr="00C168F9">
        <w:rPr>
          <w:rFonts w:ascii="仿宋_GB2312" w:hAnsi="黑体" w:hint="eastAsia"/>
          <w:sz w:val="30"/>
          <w:szCs w:val="24"/>
        </w:rPr>
        <w:t>寸会议</w:t>
      </w:r>
      <w:proofErr w:type="gramEnd"/>
      <w:r w:rsidRPr="00C168F9">
        <w:rPr>
          <w:rFonts w:ascii="仿宋_GB2312" w:hAnsi="黑体" w:hint="eastAsia"/>
          <w:sz w:val="30"/>
          <w:szCs w:val="24"/>
        </w:rPr>
        <w:t>触摸大屏幕 2套,4块55 寸拼接大屏1套幕：15 万元；25方3年云会议室；100G存储空间:3万元；乡镇配套装修，摄像头，麦克风配件11套:17万元；县医院会诊中心定制桌椅一套:20万元；县</w:t>
      </w:r>
      <w:r w:rsidRPr="00C168F9">
        <w:rPr>
          <w:rFonts w:ascii="仿宋_GB2312" w:hAnsi="黑体" w:hint="eastAsia"/>
          <w:sz w:val="30"/>
          <w:szCs w:val="24"/>
        </w:rPr>
        <w:lastRenderedPageBreak/>
        <w:t>医院会诊中心服务器电脑:8万元；电脑，服务器，标签打印机1台，文件柜5组，办公桌7张，办公</w:t>
      </w:r>
      <w:proofErr w:type="gramStart"/>
      <w:r w:rsidRPr="00C168F9">
        <w:rPr>
          <w:rFonts w:ascii="仿宋_GB2312" w:hAnsi="黑体" w:hint="eastAsia"/>
          <w:sz w:val="30"/>
          <w:szCs w:val="24"/>
        </w:rPr>
        <w:t>椅</w:t>
      </w:r>
      <w:proofErr w:type="gramEnd"/>
      <w:r w:rsidRPr="00C168F9">
        <w:rPr>
          <w:rFonts w:ascii="仿宋_GB2312" w:hAnsi="黑体" w:hint="eastAsia"/>
          <w:sz w:val="30"/>
          <w:szCs w:val="24"/>
        </w:rPr>
        <w:t>7把，电脑桌2张，更衣柜2个，五节柜2组；4K数据监控大屏幕85寸4台:15万元；远程超声系统软件硬件1对1</w:t>
      </w:r>
      <w:proofErr w:type="gramStart"/>
      <w:r w:rsidRPr="00C168F9">
        <w:rPr>
          <w:rFonts w:ascii="仿宋_GB2312" w:hAnsi="黑体" w:hint="eastAsia"/>
          <w:sz w:val="30"/>
          <w:szCs w:val="24"/>
        </w:rPr>
        <w:t>一</w:t>
      </w:r>
      <w:proofErr w:type="gramEnd"/>
      <w:r w:rsidRPr="00C168F9">
        <w:rPr>
          <w:rFonts w:ascii="仿宋_GB2312" w:hAnsi="黑体" w:hint="eastAsia"/>
          <w:sz w:val="30"/>
          <w:szCs w:val="24"/>
        </w:rPr>
        <w:t>套:25万元；会诊中心隔断，隔音，窗帘，地毯，灯光装修:20万元；计算机 10 台、打印机8台 7.15 万元。</w:t>
      </w:r>
    </w:p>
    <w:p w14:paraId="5E67ECF6" w14:textId="77777777" w:rsidR="00B85C37" w:rsidRPr="00C168F9" w:rsidRDefault="00000000">
      <w:pPr>
        <w:pStyle w:val="1"/>
        <w:spacing w:line="360" w:lineRule="auto"/>
        <w:rPr>
          <w:rFonts w:ascii="仿宋_GB2312" w:hAnsi="黑体" w:hint="eastAsia"/>
          <w:b w:val="0"/>
          <w:bCs w:val="0"/>
        </w:rPr>
      </w:pPr>
      <w:r w:rsidRPr="00C168F9">
        <w:rPr>
          <w:rFonts w:ascii="仿宋_GB2312" w:hAnsi="黑体" w:hint="eastAsia"/>
          <w:b w:val="0"/>
          <w:bCs w:val="0"/>
        </w:rPr>
        <w:t>二、绩效评价工作开展情况</w:t>
      </w:r>
    </w:p>
    <w:p w14:paraId="53FA7F7E" w14:textId="77777777" w:rsidR="00B85C37" w:rsidRPr="00C168F9" w:rsidRDefault="00000000">
      <w:pPr>
        <w:pStyle w:val="2"/>
        <w:spacing w:line="360" w:lineRule="auto"/>
        <w:rPr>
          <w:rFonts w:ascii="仿宋_GB2312" w:eastAsia="仿宋_GB2312" w:hAnsi="黑体" w:hint="eastAsia"/>
          <w:b w:val="0"/>
          <w:bCs w:val="0"/>
        </w:rPr>
      </w:pPr>
      <w:r w:rsidRPr="00C168F9">
        <w:rPr>
          <w:rFonts w:ascii="仿宋_GB2312" w:eastAsia="仿宋_GB2312" w:hAnsi="黑体" w:hint="eastAsia"/>
          <w:b w:val="0"/>
          <w:bCs w:val="0"/>
        </w:rPr>
        <w:t>（一）绩效评价目的、对象和范围。</w:t>
      </w:r>
    </w:p>
    <w:p w14:paraId="4BF9F4B7" w14:textId="77777777" w:rsidR="00B85C37" w:rsidRPr="00C168F9" w:rsidRDefault="00000000">
      <w:pPr>
        <w:adjustRightInd w:val="0"/>
        <w:snapToGrid w:val="0"/>
        <w:spacing w:line="360" w:lineRule="auto"/>
        <w:ind w:left="640"/>
        <w:rPr>
          <w:rFonts w:ascii="仿宋_GB2312" w:hAnsi="黑体" w:cs="仿宋" w:hint="eastAsia"/>
          <w:sz w:val="32"/>
          <w:szCs w:val="32"/>
        </w:rPr>
      </w:pPr>
      <w:r w:rsidRPr="00C168F9">
        <w:rPr>
          <w:rFonts w:ascii="仿宋_GB2312" w:hAnsi="黑体" w:cs="仿宋" w:hint="eastAsia"/>
          <w:sz w:val="32"/>
          <w:szCs w:val="32"/>
        </w:rPr>
        <w:t>1.绩效评价目的</w:t>
      </w:r>
    </w:p>
    <w:p w14:paraId="4F2DF88E" w14:textId="77777777" w:rsidR="00B85C37" w:rsidRPr="00C168F9" w:rsidRDefault="00000000">
      <w:pPr>
        <w:adjustRightInd w:val="0"/>
        <w:snapToGrid w:val="0"/>
        <w:spacing w:line="360" w:lineRule="auto"/>
        <w:ind w:firstLineChars="200" w:firstLine="640"/>
        <w:rPr>
          <w:rFonts w:ascii="仿宋_GB2312" w:hAnsi="黑体" w:cs="仿宋" w:hint="eastAsia"/>
          <w:sz w:val="32"/>
          <w:szCs w:val="32"/>
        </w:rPr>
      </w:pPr>
      <w:r w:rsidRPr="00C168F9">
        <w:rPr>
          <w:rFonts w:ascii="仿宋_GB2312" w:hAnsi="黑体" w:cs="仿宋" w:hint="eastAsia"/>
          <w:sz w:val="32"/>
          <w:szCs w:val="32"/>
        </w:rPr>
        <w:t>通过对20</w:t>
      </w:r>
      <w:r w:rsidRPr="00C168F9">
        <w:rPr>
          <w:rFonts w:ascii="仿宋_GB2312" w:hAnsi="黑体" w:cs="仿宋"/>
          <w:sz w:val="32"/>
          <w:szCs w:val="32"/>
        </w:rPr>
        <w:t>2</w:t>
      </w:r>
      <w:r w:rsidRPr="00C168F9">
        <w:rPr>
          <w:rFonts w:ascii="仿宋_GB2312" w:hAnsi="黑体" w:cs="仿宋" w:hint="eastAsia"/>
          <w:sz w:val="32"/>
          <w:szCs w:val="32"/>
        </w:rPr>
        <w:t>3年度本级财政下拨的</w:t>
      </w:r>
      <w:r w:rsidRPr="00C168F9">
        <w:rPr>
          <w:rFonts w:ascii="仿宋_GB2312" w:hAnsi="黑体" w:hint="eastAsia"/>
        </w:rPr>
        <w:t>2022年中央医疗服务与保障能力提升（医疗卫生机构能力建设）</w:t>
      </w:r>
      <w:r w:rsidRPr="00C168F9">
        <w:rPr>
          <w:rFonts w:ascii="仿宋_GB2312" w:hAnsi="黑体" w:cs="仿宋" w:hint="eastAsia"/>
          <w:sz w:val="32"/>
          <w:szCs w:val="32"/>
        </w:rPr>
        <w:t>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p>
    <w:p w14:paraId="31A544E4" w14:textId="77777777" w:rsidR="00B85C37" w:rsidRPr="00C168F9" w:rsidRDefault="00000000">
      <w:pPr>
        <w:adjustRightInd w:val="0"/>
        <w:snapToGrid w:val="0"/>
        <w:spacing w:line="360" w:lineRule="auto"/>
        <w:ind w:left="640"/>
        <w:rPr>
          <w:rFonts w:ascii="仿宋_GB2312" w:hAnsi="黑体" w:cs="仿宋" w:hint="eastAsia"/>
          <w:sz w:val="32"/>
          <w:szCs w:val="32"/>
        </w:rPr>
      </w:pPr>
      <w:r w:rsidRPr="00C168F9">
        <w:rPr>
          <w:rFonts w:ascii="仿宋_GB2312" w:hAnsi="黑体" w:cs="仿宋" w:hint="eastAsia"/>
          <w:sz w:val="32"/>
          <w:szCs w:val="32"/>
        </w:rPr>
        <w:t>2.绩效评价对象</w:t>
      </w:r>
    </w:p>
    <w:p w14:paraId="2C50A87C" w14:textId="77777777" w:rsidR="00B85C37" w:rsidRPr="00C168F9" w:rsidRDefault="00000000">
      <w:pPr>
        <w:adjustRightInd w:val="0"/>
        <w:snapToGrid w:val="0"/>
        <w:spacing w:line="360" w:lineRule="auto"/>
        <w:ind w:firstLineChars="200" w:firstLine="600"/>
        <w:rPr>
          <w:rFonts w:ascii="仿宋_GB2312" w:hAnsi="黑体" w:cs="仿宋" w:hint="eastAsia"/>
          <w:sz w:val="32"/>
          <w:szCs w:val="32"/>
        </w:rPr>
      </w:pPr>
      <w:r w:rsidRPr="00C168F9">
        <w:rPr>
          <w:rFonts w:ascii="仿宋_GB2312" w:hAnsi="黑体" w:hint="eastAsia"/>
        </w:rPr>
        <w:t>2022年中央医疗服务与保障能力提升（医疗卫生机构能力建设）补助资金。</w:t>
      </w:r>
    </w:p>
    <w:p w14:paraId="2D5C65BB" w14:textId="77777777" w:rsidR="00B85C37" w:rsidRPr="00C168F9" w:rsidRDefault="00000000">
      <w:pPr>
        <w:adjustRightInd w:val="0"/>
        <w:snapToGrid w:val="0"/>
        <w:spacing w:line="360" w:lineRule="auto"/>
        <w:ind w:left="640"/>
        <w:rPr>
          <w:rFonts w:ascii="仿宋_GB2312" w:hAnsi="黑体" w:cs="仿宋" w:hint="eastAsia"/>
          <w:sz w:val="32"/>
          <w:szCs w:val="32"/>
        </w:rPr>
      </w:pPr>
      <w:r w:rsidRPr="00C168F9">
        <w:rPr>
          <w:rFonts w:ascii="仿宋_GB2312" w:hAnsi="黑体" w:cs="仿宋" w:hint="eastAsia"/>
          <w:sz w:val="32"/>
          <w:szCs w:val="32"/>
        </w:rPr>
        <w:t>3.绩效评价范围</w:t>
      </w:r>
    </w:p>
    <w:p w14:paraId="4CB771C0" w14:textId="77777777" w:rsidR="00B85C37" w:rsidRPr="00C168F9" w:rsidRDefault="00000000">
      <w:pPr>
        <w:adjustRightInd w:val="0"/>
        <w:snapToGrid w:val="0"/>
        <w:spacing w:line="360" w:lineRule="auto"/>
        <w:ind w:firstLineChars="200" w:firstLine="600"/>
        <w:rPr>
          <w:rFonts w:ascii="仿宋_GB2312" w:hAnsi="黑体" w:hint="eastAsia"/>
        </w:rPr>
      </w:pPr>
      <w:r w:rsidRPr="00C168F9">
        <w:rPr>
          <w:rFonts w:ascii="仿宋_GB2312" w:hAnsi="黑体" w:hint="eastAsia"/>
        </w:rPr>
        <w:lastRenderedPageBreak/>
        <w:t>本次评价主要对2022年中央医疗服务与保障能力提升（医疗卫生机构能力建设）补助项目资金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3493C325" w14:textId="77777777" w:rsidR="00B85C37" w:rsidRPr="00C168F9" w:rsidRDefault="00000000">
      <w:pPr>
        <w:pStyle w:val="2"/>
        <w:spacing w:line="360" w:lineRule="auto"/>
        <w:rPr>
          <w:rFonts w:ascii="仿宋_GB2312" w:eastAsia="仿宋_GB2312" w:hAnsi="黑体" w:hint="eastAsia"/>
          <w:b w:val="0"/>
          <w:bCs w:val="0"/>
        </w:rPr>
      </w:pPr>
      <w:r w:rsidRPr="00C168F9">
        <w:rPr>
          <w:rFonts w:ascii="仿宋_GB2312" w:eastAsia="仿宋_GB2312" w:hAnsi="黑体" w:hint="eastAsia"/>
          <w:b w:val="0"/>
          <w:bCs w:val="0"/>
        </w:rPr>
        <w:t>（二）绩效评价原则、评价指标体系、评价方法、评价标准等</w:t>
      </w:r>
    </w:p>
    <w:p w14:paraId="23B2279A"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1.绩效评价原则</w:t>
      </w:r>
    </w:p>
    <w:p w14:paraId="04A60B87" w14:textId="77777777" w:rsidR="00B85C37" w:rsidRPr="00C168F9" w:rsidRDefault="00000000">
      <w:pPr>
        <w:adjustRightInd w:val="0"/>
        <w:snapToGrid w:val="0"/>
        <w:spacing w:line="360" w:lineRule="auto"/>
        <w:ind w:firstLineChars="200" w:firstLine="600"/>
        <w:rPr>
          <w:rFonts w:ascii="仿宋_GB2312" w:hAnsi="黑体" w:hint="eastAsia"/>
        </w:rPr>
      </w:pPr>
      <w:r w:rsidRPr="00C168F9">
        <w:rPr>
          <w:rFonts w:ascii="仿宋_GB2312" w:hAnsi="黑体" w:hint="eastAsia"/>
        </w:rPr>
        <w:t>本次绩效评价严格按照《财政部关于印发&lt;项目支出绩效评价管理办法&gt;的通知》（财预【2020】10号）等文件要求，按照科学合理的方式，综合分析考核项目的绩效情况。</w:t>
      </w:r>
    </w:p>
    <w:p w14:paraId="7114DF94"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（1）科学规范原则。坚持严格执行规定的程序，按照科学可行的要求，采用定量与定性分析相结合的方法。</w:t>
      </w:r>
    </w:p>
    <w:p w14:paraId="48D2310B"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（2）公正公开原则。坚持符合真实、客观、公正的要求，依法公开并接受监督。</w:t>
      </w:r>
    </w:p>
    <w:p w14:paraId="42B04BA3" w14:textId="77777777" w:rsidR="00B85C37" w:rsidRPr="00C168F9" w:rsidRDefault="00000000">
      <w:pPr>
        <w:spacing w:line="360" w:lineRule="auto"/>
        <w:ind w:leftChars="200" w:left="600"/>
        <w:rPr>
          <w:rFonts w:ascii="仿宋_GB2312" w:hAnsi="黑体" w:hint="eastAsia"/>
        </w:rPr>
      </w:pPr>
      <w:r w:rsidRPr="00C168F9">
        <w:rPr>
          <w:rFonts w:ascii="仿宋_GB2312" w:hAnsi="黑体" w:hint="eastAsia"/>
        </w:rPr>
        <w:t>（3）分级分类原则。坚持根据评价对象的特点分类组织实施。</w:t>
      </w:r>
    </w:p>
    <w:p w14:paraId="0052817D"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（4）绩效相关原则。应当针对具体支出及其产出绩效进行，评价结果应当清晰反映支出和产出绩效之间的紧密对应关系。</w:t>
      </w:r>
    </w:p>
    <w:p w14:paraId="783E40A5" w14:textId="77777777" w:rsidR="00B85C37" w:rsidRPr="00C168F9" w:rsidRDefault="00000000">
      <w:pPr>
        <w:spacing w:line="360" w:lineRule="auto"/>
        <w:ind w:leftChars="200" w:left="600"/>
        <w:rPr>
          <w:rFonts w:ascii="仿宋_GB2312" w:hAnsi="黑体" w:hint="eastAsia"/>
        </w:rPr>
      </w:pPr>
      <w:r w:rsidRPr="00C168F9">
        <w:rPr>
          <w:rFonts w:ascii="仿宋_GB2312" w:hAnsi="黑体" w:hint="eastAsia"/>
        </w:rPr>
        <w:t>2.评价指标体系</w:t>
      </w:r>
    </w:p>
    <w:p w14:paraId="0742E88A" w14:textId="77777777" w:rsidR="00B85C37" w:rsidRPr="00C168F9" w:rsidRDefault="00000000">
      <w:pPr>
        <w:pStyle w:val="ab"/>
        <w:spacing w:line="360" w:lineRule="auto"/>
        <w:ind w:left="360" w:firstLine="600"/>
        <w:rPr>
          <w:rFonts w:ascii="仿宋_GB2312" w:hAnsi="黑体" w:hint="eastAsia"/>
          <w:bCs/>
        </w:rPr>
      </w:pPr>
      <w:r w:rsidRPr="00C168F9">
        <w:rPr>
          <w:rFonts w:ascii="仿宋_GB2312" w:hAnsi="黑体" w:hint="eastAsia"/>
        </w:rPr>
        <w:t>根据项目特征及具体情况，</w:t>
      </w:r>
      <w:r w:rsidRPr="00C168F9">
        <w:rPr>
          <w:rFonts w:ascii="仿宋_GB2312" w:hAnsi="黑体" w:hint="eastAsia"/>
          <w:bCs/>
        </w:rPr>
        <w:t>本次绩效评价指标体系主要分为共性指标和个性指标两大类。个性指标下设产出指标、成本指标、</w:t>
      </w:r>
      <w:r w:rsidRPr="00C168F9">
        <w:rPr>
          <w:rFonts w:ascii="仿宋_GB2312" w:hAnsi="黑体" w:hint="eastAsia"/>
          <w:bCs/>
        </w:rPr>
        <w:lastRenderedPageBreak/>
        <w:t>效益指标、满意度4个一级指标，其中产出下设产出数量、产出质量、产出时效3个2级指标，成本指标下设经济成本1个2级指标；效益下设项目效益1个二级指标。满意度下设1个满意度2级指标；并以此设定各项指标的分值分配：决策、过程、产出、效果。本次绩效评价实行百分制，即各项指标值之和为100分，项目采用综合评分法进行绩效评价。见附表1。</w:t>
      </w:r>
    </w:p>
    <w:p w14:paraId="2CDFBBE4"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3.评价方法</w:t>
      </w:r>
    </w:p>
    <w:p w14:paraId="1E37F7CA" w14:textId="77777777" w:rsidR="00B85C37" w:rsidRPr="00C168F9" w:rsidRDefault="00000000">
      <w:pPr>
        <w:spacing w:line="360" w:lineRule="auto"/>
        <w:ind w:firstLineChars="200" w:firstLine="600"/>
        <w:rPr>
          <w:rFonts w:ascii="仿宋_GB2312" w:hAnsi="黑体" w:hint="eastAsia"/>
          <w:bCs/>
        </w:rPr>
      </w:pPr>
      <w:r w:rsidRPr="00C168F9">
        <w:rPr>
          <w:rFonts w:ascii="仿宋_GB2312" w:hAnsi="黑体" w:hint="eastAsia"/>
          <w:bCs/>
        </w:rPr>
        <w:t>本项目主要采用全面评价和重点评价相结合、现场评价和非现场评价相结合的方式，运用综合评分法进行评价。</w:t>
      </w:r>
    </w:p>
    <w:p w14:paraId="6429D1AE"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4.评价标准</w:t>
      </w:r>
    </w:p>
    <w:p w14:paraId="335DDD20" w14:textId="77777777" w:rsidR="00B85C37" w:rsidRPr="00C168F9" w:rsidRDefault="00000000">
      <w:pPr>
        <w:spacing w:line="360" w:lineRule="auto"/>
        <w:ind w:firstLineChars="200" w:firstLine="600"/>
        <w:rPr>
          <w:rFonts w:ascii="仿宋_GB2312" w:hAnsi="黑体" w:hint="eastAsia"/>
          <w:bCs/>
        </w:rPr>
      </w:pPr>
      <w:r w:rsidRPr="00C168F9">
        <w:rPr>
          <w:rFonts w:ascii="仿宋_GB2312" w:hAnsi="黑体" w:hint="eastAsia"/>
          <w:bCs/>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p>
    <w:p w14:paraId="32F8D118" w14:textId="77777777" w:rsidR="00B85C37" w:rsidRPr="00C168F9" w:rsidRDefault="00000000">
      <w:pPr>
        <w:spacing w:line="360" w:lineRule="auto"/>
        <w:ind w:firstLineChars="200" w:firstLine="600"/>
        <w:rPr>
          <w:rFonts w:ascii="仿宋_GB2312" w:hAnsi="黑体" w:hint="eastAsia"/>
          <w:bCs/>
        </w:rPr>
      </w:pPr>
      <w:r w:rsidRPr="00C168F9">
        <w:rPr>
          <w:rFonts w:ascii="仿宋_GB2312" w:hAnsi="黑体" w:hint="eastAsia"/>
          <w:bCs/>
        </w:rPr>
        <w:t>财政支出绩效评价指标包括两大类，一类是定量指标，一类是定性指标。本次绩效评价采用“定量的指标体系的打分评价”+“定性的调查信息的归纳和提炼”，两种方式互相补充以构成对本次项目的完整评价。</w:t>
      </w:r>
    </w:p>
    <w:p w14:paraId="0E7A4F9A" w14:textId="77777777" w:rsidR="00B85C37" w:rsidRPr="00C168F9" w:rsidRDefault="00000000">
      <w:pPr>
        <w:spacing w:line="360" w:lineRule="auto"/>
        <w:ind w:firstLineChars="200" w:firstLine="600"/>
        <w:rPr>
          <w:rFonts w:ascii="仿宋_GB2312" w:hAnsi="黑体" w:hint="eastAsia"/>
          <w:bCs/>
        </w:rPr>
      </w:pPr>
      <w:r w:rsidRPr="00C168F9">
        <w:rPr>
          <w:rFonts w:ascii="仿宋_GB2312" w:hAnsi="黑体" w:hint="eastAsia"/>
          <w:bCs/>
        </w:rPr>
        <w:t>根据《项目支出绩效评价管理办法》(财预〔2020〕10号)的规定，绩效评价结果采取评分和评级相结合的方式，具体分值和等级</w:t>
      </w:r>
      <w:r w:rsidRPr="00C168F9">
        <w:rPr>
          <w:rFonts w:ascii="仿宋_GB2312" w:hAnsi="黑体" w:hint="eastAsia"/>
          <w:bCs/>
        </w:rPr>
        <w:lastRenderedPageBreak/>
        <w:t>可根据不同评价内容设定。总分设置为100分，等级划分为四档：90（含）-100分为“优”、80（含）-90分为“良”、60（含）-80分为“中”、60分以下为“差”。</w:t>
      </w:r>
    </w:p>
    <w:p w14:paraId="054C7E2C" w14:textId="77777777" w:rsidR="00B85C37" w:rsidRPr="00C168F9" w:rsidRDefault="00000000">
      <w:pPr>
        <w:pStyle w:val="2"/>
        <w:spacing w:line="360" w:lineRule="auto"/>
        <w:rPr>
          <w:rFonts w:ascii="仿宋_GB2312" w:eastAsia="仿宋_GB2312" w:hAnsi="黑体" w:hint="eastAsia"/>
          <w:b w:val="0"/>
          <w:bCs w:val="0"/>
        </w:rPr>
      </w:pPr>
      <w:r w:rsidRPr="00C168F9">
        <w:rPr>
          <w:rFonts w:ascii="仿宋_GB2312" w:eastAsia="仿宋_GB2312" w:hAnsi="黑体" w:hint="eastAsia"/>
          <w:b w:val="0"/>
          <w:bCs w:val="0"/>
        </w:rPr>
        <w:t>（三）绩效评价工作过程</w:t>
      </w:r>
    </w:p>
    <w:p w14:paraId="62910C70"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1.前期准备</w:t>
      </w:r>
    </w:p>
    <w:p w14:paraId="71971633" w14:textId="77777777" w:rsidR="00B85C37" w:rsidRPr="00C168F9" w:rsidRDefault="00000000">
      <w:pPr>
        <w:spacing w:line="360" w:lineRule="auto"/>
        <w:ind w:firstLineChars="200" w:firstLine="560"/>
        <w:rPr>
          <w:rFonts w:ascii="仿宋_GB2312" w:hAnsi="黑体" w:hint="eastAsia"/>
          <w:bCs/>
        </w:rPr>
      </w:pPr>
      <w:r w:rsidRPr="00C168F9">
        <w:rPr>
          <w:rFonts w:ascii="宋体" w:eastAsia="宋体" w:hAnsi="宋体" w:cs="宋体"/>
          <w:sz w:val="28"/>
          <w:szCs w:val="28"/>
        </w:rPr>
        <w:t xml:space="preserve">1.1 </w:t>
      </w:r>
      <w:r w:rsidRPr="00C168F9">
        <w:rPr>
          <w:rFonts w:ascii="仿宋_GB2312" w:hAnsi="黑体" w:hint="eastAsia"/>
          <w:bCs/>
        </w:rPr>
        <w:t>2024年4月1日</w:t>
      </w:r>
      <w:r w:rsidRPr="00C168F9">
        <w:rPr>
          <w:rFonts w:ascii="仿宋_GB2312" w:hAnsi="黑体" w:hint="eastAsia"/>
          <w:bCs/>
          <w:lang w:val="zh-CN"/>
        </w:rPr>
        <w:t>，</w:t>
      </w:r>
      <w:r w:rsidRPr="00C168F9">
        <w:rPr>
          <w:rFonts w:ascii="仿宋_GB2312" w:hAnsi="黑体" w:hint="eastAsia"/>
          <w:bCs/>
        </w:rPr>
        <w:t>我单位在收到自评工作任务后及时组织了绩效评价工作小组，其中院长为组长，主要负责工作安排，刘东亮为副组长，主要负责报告的审核、指导，院办组员负责资料、数据整理，编制报告。小组制定了项目评价的工作思路及工作安排，参考学习了相关政策制度、实施方案和相关的工作文件，为评价工作的开展提供工作指引。</w:t>
      </w:r>
      <w:r w:rsidRPr="00C168F9">
        <w:rPr>
          <w:rFonts w:ascii="仿宋_GB2312" w:hAnsi="黑体" w:hint="eastAsia"/>
          <w:bCs/>
        </w:rPr>
        <w:br/>
        <w:t xml:space="preserve">   2023年4月5日，</w:t>
      </w:r>
      <w:proofErr w:type="gramStart"/>
      <w:r w:rsidRPr="00C168F9">
        <w:rPr>
          <w:rFonts w:ascii="仿宋_GB2312" w:hAnsi="黑体" w:hint="eastAsia"/>
          <w:bCs/>
          <w:lang w:val="zh-CN"/>
        </w:rPr>
        <w:t>评价组</w:t>
      </w:r>
      <w:proofErr w:type="gramEnd"/>
      <w:r w:rsidRPr="00C168F9">
        <w:rPr>
          <w:rFonts w:ascii="仿宋_GB2312" w:hAnsi="黑体" w:hint="eastAsia"/>
          <w:bCs/>
          <w:lang w:val="zh-CN"/>
        </w:rPr>
        <w:t>通过前期调研</w:t>
      </w:r>
      <w:r w:rsidRPr="00C168F9">
        <w:rPr>
          <w:rFonts w:ascii="仿宋_GB2312" w:hAnsi="黑体" w:hint="eastAsia"/>
          <w:bCs/>
        </w:rPr>
        <w:t>确定绩效评价对象和范围，</w:t>
      </w:r>
      <w:r w:rsidRPr="00C168F9">
        <w:rPr>
          <w:rFonts w:ascii="仿宋_GB2312" w:hAnsi="黑体" w:hint="eastAsia"/>
          <w:bCs/>
          <w:lang w:val="zh-CN"/>
        </w:rPr>
        <w:t>确定了评价的目的、方法以及评价的原则；</w:t>
      </w:r>
    </w:p>
    <w:p w14:paraId="4C3BA9D9" w14:textId="77777777" w:rsidR="00B85C37" w:rsidRPr="00C168F9" w:rsidRDefault="00000000">
      <w:pPr>
        <w:pStyle w:val="ab"/>
        <w:numPr>
          <w:ilvl w:val="1"/>
          <w:numId w:val="1"/>
        </w:numPr>
        <w:spacing w:line="360" w:lineRule="auto"/>
        <w:ind w:firstLineChars="0"/>
        <w:rPr>
          <w:rFonts w:ascii="仿宋_GB2312" w:hAnsi="黑体" w:hint="eastAsia"/>
        </w:rPr>
      </w:pPr>
      <w:r w:rsidRPr="00C168F9">
        <w:rPr>
          <w:rFonts w:ascii="仿宋_GB2312" w:hAnsi="黑体" w:hint="eastAsia"/>
        </w:rPr>
        <w:t xml:space="preserve"> 2023年4月5日，</w:t>
      </w:r>
      <w:r w:rsidRPr="00C168F9">
        <w:rPr>
          <w:rFonts w:ascii="仿宋_GB2312" w:hAnsi="黑体" w:hint="eastAsia"/>
          <w:lang w:val="zh-CN"/>
        </w:rPr>
        <w:t>根据项目的</w:t>
      </w:r>
      <w:r w:rsidRPr="00C168F9">
        <w:rPr>
          <w:rFonts w:ascii="仿宋_GB2312" w:hAnsi="黑体" w:hint="eastAsia"/>
        </w:rPr>
        <w:t>实施</w:t>
      </w:r>
      <w:r w:rsidRPr="00C168F9">
        <w:rPr>
          <w:rFonts w:ascii="仿宋_GB2312" w:hAnsi="黑体" w:hint="eastAsia"/>
          <w:lang w:val="zh-CN"/>
        </w:rPr>
        <w:t>内容和特征制定了评价指标体系及评价标准以及评价实施方案，修正并确定所需资料清单，最终确定</w:t>
      </w:r>
      <w:r w:rsidRPr="00C168F9">
        <w:rPr>
          <w:rFonts w:ascii="仿宋_GB2312" w:hAnsi="黑体" w:hint="eastAsia"/>
        </w:rPr>
        <w:t>绩效评价工作方案；</w:t>
      </w:r>
    </w:p>
    <w:p w14:paraId="27EFC579" w14:textId="77777777" w:rsidR="00B85C37" w:rsidRPr="00C168F9" w:rsidRDefault="00000000">
      <w:pPr>
        <w:spacing w:line="360" w:lineRule="auto"/>
        <w:rPr>
          <w:rFonts w:ascii="仿宋_GB2312" w:hAnsi="黑体" w:hint="eastAsia"/>
        </w:rPr>
      </w:pPr>
      <w:r w:rsidRPr="00C168F9">
        <w:rPr>
          <w:rFonts w:ascii="仿宋_GB2312" w:hAnsi="黑体" w:hint="eastAsia"/>
        </w:rPr>
        <w:t>2.组织实施</w:t>
      </w:r>
    </w:p>
    <w:p w14:paraId="34776C0E" w14:textId="77777777" w:rsidR="00B85C37" w:rsidRPr="00C168F9" w:rsidRDefault="00000000">
      <w:pPr>
        <w:spacing w:line="360" w:lineRule="auto"/>
        <w:rPr>
          <w:rFonts w:ascii="仿宋_GB2312" w:hAnsi="黑体" w:hint="eastAsia"/>
        </w:rPr>
      </w:pPr>
      <w:r w:rsidRPr="00C168F9">
        <w:rPr>
          <w:rFonts w:ascii="仿宋_GB2312" w:hAnsi="黑体" w:hint="eastAsia"/>
        </w:rPr>
        <w:t>2023年4月6日- 4月10日，评价工作进入实施阶段：</w:t>
      </w:r>
    </w:p>
    <w:p w14:paraId="6479184B" w14:textId="77777777" w:rsidR="00B85C37" w:rsidRPr="00C168F9" w:rsidRDefault="00000000">
      <w:pPr>
        <w:spacing w:line="360" w:lineRule="auto"/>
        <w:rPr>
          <w:rFonts w:ascii="仿宋_GB2312" w:hAnsi="黑体" w:hint="eastAsia"/>
        </w:rPr>
      </w:pPr>
      <w:r w:rsidRPr="00C168F9">
        <w:rPr>
          <w:rFonts w:ascii="仿宋_GB2312" w:hAnsi="黑体" w:hint="eastAsia"/>
        </w:rPr>
        <w:t xml:space="preserve">2.1  </w:t>
      </w:r>
      <w:proofErr w:type="gramStart"/>
      <w:r w:rsidRPr="00C168F9">
        <w:rPr>
          <w:rFonts w:ascii="仿宋_GB2312" w:hAnsi="黑体" w:hint="eastAsia"/>
        </w:rPr>
        <w:t>评价组</w:t>
      </w:r>
      <w:proofErr w:type="gramEnd"/>
      <w:r w:rsidRPr="00C168F9">
        <w:rPr>
          <w:rFonts w:ascii="仿宋_GB2312" w:hAnsi="黑体" w:hint="eastAsia"/>
        </w:rPr>
        <w:t>收集绩效评价相关数据资料，进行现场调研、座谈；</w:t>
      </w:r>
    </w:p>
    <w:p w14:paraId="14A5F2D4" w14:textId="77777777" w:rsidR="00B85C37" w:rsidRPr="00C168F9" w:rsidRDefault="00000000">
      <w:pPr>
        <w:spacing w:line="360" w:lineRule="auto"/>
        <w:rPr>
          <w:rFonts w:ascii="仿宋_GB2312" w:hAnsi="黑体" w:hint="eastAsia"/>
        </w:rPr>
      </w:pPr>
      <w:r w:rsidRPr="00C168F9">
        <w:rPr>
          <w:rFonts w:ascii="仿宋_GB2312" w:hAnsi="黑体" w:hint="eastAsia"/>
        </w:rPr>
        <w:t>2.2  评价小组根据项目的实施情况、资金的分配和使用情况、项目</w:t>
      </w:r>
      <w:r w:rsidRPr="00C168F9">
        <w:rPr>
          <w:rFonts w:ascii="仿宋_GB2312" w:hAnsi="黑体" w:hint="eastAsia"/>
        </w:rPr>
        <w:lastRenderedPageBreak/>
        <w:t>自评情况，及时与项目实施人员沟通协商，对项目的实施全过程工作进行核实，并做了相关问卷调查，据实酌情调整完善评价指标体系，剖析问题产生原因。</w:t>
      </w:r>
    </w:p>
    <w:p w14:paraId="3D6172FA" w14:textId="77777777" w:rsidR="00B85C37" w:rsidRPr="00C168F9" w:rsidRDefault="00000000">
      <w:pPr>
        <w:spacing w:line="360" w:lineRule="auto"/>
        <w:rPr>
          <w:rFonts w:ascii="仿宋_GB2312" w:hAnsi="黑体" w:hint="eastAsia"/>
        </w:rPr>
      </w:pPr>
      <w:r w:rsidRPr="00C168F9">
        <w:rPr>
          <w:rFonts w:ascii="仿宋_GB2312" w:hAnsi="黑体"/>
        </w:rPr>
        <w:t>3.</w:t>
      </w:r>
      <w:r w:rsidRPr="00C168F9">
        <w:rPr>
          <w:rFonts w:ascii="仿宋_GB2312" w:hAnsi="黑体" w:hint="eastAsia"/>
        </w:rPr>
        <w:t>分析评价：</w:t>
      </w:r>
    </w:p>
    <w:p w14:paraId="5E84B0FE"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2024年4月10日- 4月15日，</w:t>
      </w:r>
      <w:proofErr w:type="gramStart"/>
      <w:r w:rsidRPr="00C168F9">
        <w:rPr>
          <w:rFonts w:ascii="仿宋_GB2312" w:hAnsi="黑体" w:hint="eastAsia"/>
        </w:rPr>
        <w:t>评价组</w:t>
      </w:r>
      <w:proofErr w:type="gramEnd"/>
      <w:r w:rsidRPr="00C168F9">
        <w:rPr>
          <w:rFonts w:ascii="仿宋_GB2312" w:hAnsi="黑体" w:hint="eastAsia"/>
        </w:rPr>
        <w:t>按照绩效评价的原则和规范，对取得的资料进行审查核实，对采集的数据进行分析，按照绩效评价指标评分表逐项进行打分、分析，汇总各方评价结果，综合分析并形成评价结论。</w:t>
      </w:r>
    </w:p>
    <w:p w14:paraId="2386E7C0"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rPr>
        <w:t>4</w:t>
      </w:r>
      <w:r w:rsidRPr="00C168F9">
        <w:rPr>
          <w:rFonts w:ascii="仿宋_GB2312" w:hAnsi="黑体" w:hint="eastAsia"/>
        </w:rPr>
        <w:t>.撰写报告</w:t>
      </w:r>
    </w:p>
    <w:p w14:paraId="097584AC"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评价小组根据对项目的资料、实施情况进行核实分析后，围绕评价体系对项目支出绩效进行了评价打分，并撰写了绩效评价报告，报告编制完成后上报至单位领导处进行定稿，最终将定稿报告上报至木垒县财政局。</w:t>
      </w:r>
    </w:p>
    <w:p w14:paraId="7C6F7EBE" w14:textId="77777777" w:rsidR="00B85C37" w:rsidRPr="00C168F9" w:rsidRDefault="00000000">
      <w:pPr>
        <w:spacing w:line="360" w:lineRule="auto"/>
        <w:ind w:left="640"/>
        <w:rPr>
          <w:rFonts w:ascii="仿宋_GB2312" w:hAnsi="黑体" w:hint="eastAsia"/>
        </w:rPr>
      </w:pPr>
      <w:r w:rsidRPr="00C168F9">
        <w:rPr>
          <w:rFonts w:ascii="仿宋_GB2312" w:hAnsi="黑体"/>
        </w:rPr>
        <w:t>5</w:t>
      </w:r>
      <w:r w:rsidRPr="00C168F9">
        <w:rPr>
          <w:rFonts w:ascii="仿宋_GB2312" w:hAnsi="黑体" w:hint="eastAsia"/>
        </w:rPr>
        <w:t>.资料归档</w:t>
      </w:r>
    </w:p>
    <w:p w14:paraId="5C5E2B12"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评价小组对已完成的评价项目资料进行整理、封装，完善绩效评价工作底稿，并将资料整理成册后交档案室统一归档保存，以备后期查阅。</w:t>
      </w:r>
    </w:p>
    <w:p w14:paraId="23A728AF" w14:textId="77777777" w:rsidR="00B85C37" w:rsidRPr="00C168F9" w:rsidRDefault="00000000">
      <w:pPr>
        <w:pStyle w:val="1"/>
        <w:spacing w:line="360" w:lineRule="auto"/>
        <w:rPr>
          <w:rFonts w:ascii="仿宋_GB2312" w:hAnsi="黑体" w:hint="eastAsia"/>
          <w:b w:val="0"/>
          <w:bCs w:val="0"/>
        </w:rPr>
      </w:pPr>
      <w:r w:rsidRPr="00C168F9">
        <w:rPr>
          <w:rFonts w:ascii="仿宋_GB2312" w:hAnsi="黑体" w:hint="eastAsia"/>
          <w:b w:val="0"/>
          <w:bCs w:val="0"/>
        </w:rPr>
        <w:t>三、综合评价情况及评价结论</w:t>
      </w:r>
    </w:p>
    <w:p w14:paraId="5ED07E90" w14:textId="77777777" w:rsidR="00B85C37" w:rsidRPr="00C168F9" w:rsidRDefault="00000000">
      <w:r w:rsidRPr="00C168F9">
        <w:rPr>
          <w:rFonts w:hint="eastAsia"/>
        </w:rPr>
        <w:t>（一）综合评价情况及评价结论</w:t>
      </w:r>
    </w:p>
    <w:p w14:paraId="7F9454F7"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木垒哈萨克自治县人民医院主要负责项目实施等工作，财政部</w:t>
      </w:r>
      <w:r w:rsidRPr="00C168F9">
        <w:rPr>
          <w:rFonts w:ascii="仿宋_GB2312" w:hAnsi="黑体" w:hint="eastAsia"/>
        </w:rPr>
        <w:lastRenderedPageBreak/>
        <w:t>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p>
    <w:p w14:paraId="788C9531"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本项目通过制定的评价指标体系及评分标准，运用数据采集、问卷调查及访谈等方式，对本项目绩效进行客观评价，最终评分结果：总分为100分。</w:t>
      </w:r>
    </w:p>
    <w:p w14:paraId="4444769B"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（二）相关评分表</w:t>
      </w:r>
    </w:p>
    <w:p w14:paraId="1186F140"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各部分权重和绩效分值如下表所示：</w:t>
      </w:r>
      <w:bookmarkStart w:id="0" w:name="page24"/>
      <w:bookmarkEnd w:id="0"/>
      <w:r w:rsidRPr="00C168F9">
        <w:rPr>
          <w:rFonts w:ascii="仿宋_GB2312" w:hAnsi="黑体" w:hint="eastAsia"/>
        </w:rPr>
        <w:t>（详细评分表见附表）</w:t>
      </w:r>
    </w:p>
    <w:tbl>
      <w:tblPr>
        <w:tblW w:w="10820" w:type="dxa"/>
        <w:jc w:val="center"/>
        <w:tblLayout w:type="fixed"/>
        <w:tblCellMar>
          <w:left w:w="0" w:type="dxa"/>
          <w:right w:w="0" w:type="dxa"/>
        </w:tblCellMar>
        <w:tblLook w:val="04A0" w:firstRow="1" w:lastRow="0" w:firstColumn="1" w:lastColumn="0" w:noHBand="0" w:noVBand="1"/>
      </w:tblPr>
      <w:tblGrid>
        <w:gridCol w:w="1180"/>
        <w:gridCol w:w="2100"/>
        <w:gridCol w:w="2140"/>
        <w:gridCol w:w="2160"/>
        <w:gridCol w:w="1620"/>
        <w:gridCol w:w="1620"/>
      </w:tblGrid>
      <w:tr w:rsidR="00C168F9" w:rsidRPr="00C168F9" w14:paraId="0EE7E8AD" w14:textId="77777777">
        <w:trPr>
          <w:trHeight w:val="423"/>
          <w:jc w:val="center"/>
        </w:trPr>
        <w:tc>
          <w:tcPr>
            <w:tcW w:w="1180" w:type="dxa"/>
            <w:tcBorders>
              <w:top w:val="single" w:sz="4" w:space="0" w:color="auto"/>
              <w:left w:val="single" w:sz="4" w:space="0" w:color="auto"/>
              <w:bottom w:val="single" w:sz="4" w:space="0" w:color="auto"/>
              <w:right w:val="single" w:sz="4" w:space="0" w:color="auto"/>
            </w:tcBorders>
            <w:vAlign w:val="bottom"/>
          </w:tcPr>
          <w:p w14:paraId="00E1EF08" w14:textId="77777777" w:rsidR="00B85C37" w:rsidRPr="00C168F9" w:rsidRDefault="00000000">
            <w:pPr>
              <w:spacing w:line="360" w:lineRule="auto"/>
              <w:ind w:firstLineChars="100" w:firstLine="240"/>
              <w:rPr>
                <w:rFonts w:ascii="仿宋_GB2312" w:hAnsi="黑体" w:hint="eastAsia"/>
                <w:sz w:val="24"/>
              </w:rPr>
            </w:pPr>
            <w:r w:rsidRPr="00C168F9">
              <w:rPr>
                <w:rFonts w:ascii="仿宋_GB2312" w:hAnsi="黑体" w:hint="eastAsia"/>
                <w:sz w:val="24"/>
              </w:rPr>
              <w:t>指标</w:t>
            </w:r>
          </w:p>
        </w:tc>
        <w:tc>
          <w:tcPr>
            <w:tcW w:w="2100" w:type="dxa"/>
            <w:tcBorders>
              <w:top w:val="single" w:sz="4" w:space="0" w:color="auto"/>
              <w:left w:val="single" w:sz="4" w:space="0" w:color="auto"/>
              <w:bottom w:val="single" w:sz="4" w:space="0" w:color="auto"/>
              <w:right w:val="single" w:sz="4" w:space="0" w:color="auto"/>
            </w:tcBorders>
            <w:vAlign w:val="bottom"/>
          </w:tcPr>
          <w:p w14:paraId="769BC405" w14:textId="77777777" w:rsidR="00B85C37" w:rsidRPr="00C168F9" w:rsidRDefault="00000000">
            <w:pPr>
              <w:spacing w:line="360" w:lineRule="auto"/>
              <w:ind w:firstLineChars="100" w:firstLine="240"/>
              <w:jc w:val="center"/>
              <w:rPr>
                <w:rFonts w:ascii="仿宋_GB2312" w:hAnsi="黑体" w:hint="eastAsia"/>
                <w:sz w:val="24"/>
              </w:rPr>
            </w:pPr>
            <w:r w:rsidRPr="00C168F9">
              <w:rPr>
                <w:rFonts w:ascii="仿宋_GB2312" w:hAnsi="黑体" w:hint="eastAsia"/>
                <w:sz w:val="24"/>
              </w:rPr>
              <w:t>项目决策</w:t>
            </w:r>
          </w:p>
        </w:tc>
        <w:tc>
          <w:tcPr>
            <w:tcW w:w="2140" w:type="dxa"/>
            <w:tcBorders>
              <w:top w:val="single" w:sz="4" w:space="0" w:color="auto"/>
              <w:left w:val="single" w:sz="4" w:space="0" w:color="auto"/>
              <w:bottom w:val="single" w:sz="4" w:space="0" w:color="auto"/>
              <w:right w:val="single" w:sz="4" w:space="0" w:color="auto"/>
            </w:tcBorders>
            <w:vAlign w:val="bottom"/>
          </w:tcPr>
          <w:p w14:paraId="50BBE3E9" w14:textId="77777777" w:rsidR="00B85C37" w:rsidRPr="00C168F9" w:rsidRDefault="00000000">
            <w:pPr>
              <w:spacing w:line="360" w:lineRule="auto"/>
              <w:ind w:firstLineChars="100" w:firstLine="240"/>
              <w:jc w:val="center"/>
              <w:rPr>
                <w:rFonts w:ascii="仿宋_GB2312" w:hAnsi="黑体" w:hint="eastAsia"/>
                <w:sz w:val="24"/>
              </w:rPr>
            </w:pPr>
            <w:r w:rsidRPr="00C168F9">
              <w:rPr>
                <w:rFonts w:ascii="仿宋_GB2312" w:hAnsi="黑体" w:hint="eastAsia"/>
                <w:sz w:val="24"/>
              </w:rPr>
              <w:t>项目过程</w:t>
            </w:r>
          </w:p>
        </w:tc>
        <w:tc>
          <w:tcPr>
            <w:tcW w:w="2160" w:type="dxa"/>
            <w:tcBorders>
              <w:top w:val="single" w:sz="4" w:space="0" w:color="auto"/>
              <w:left w:val="single" w:sz="4" w:space="0" w:color="auto"/>
              <w:bottom w:val="single" w:sz="4" w:space="0" w:color="auto"/>
              <w:right w:val="single" w:sz="4" w:space="0" w:color="auto"/>
            </w:tcBorders>
            <w:vAlign w:val="bottom"/>
          </w:tcPr>
          <w:p w14:paraId="53233CD5" w14:textId="77777777" w:rsidR="00B85C37" w:rsidRPr="00C168F9" w:rsidRDefault="00000000">
            <w:pPr>
              <w:spacing w:line="360" w:lineRule="auto"/>
              <w:ind w:firstLineChars="100" w:firstLine="240"/>
              <w:jc w:val="center"/>
              <w:rPr>
                <w:rFonts w:ascii="仿宋_GB2312" w:hAnsi="黑体" w:hint="eastAsia"/>
                <w:sz w:val="24"/>
              </w:rPr>
            </w:pPr>
            <w:r w:rsidRPr="00C168F9">
              <w:rPr>
                <w:rFonts w:ascii="仿宋_GB2312" w:hAnsi="黑体" w:hint="eastAsia"/>
                <w:sz w:val="24"/>
              </w:rPr>
              <w:t>项目产出</w:t>
            </w:r>
          </w:p>
        </w:tc>
        <w:tc>
          <w:tcPr>
            <w:tcW w:w="1620" w:type="dxa"/>
            <w:tcBorders>
              <w:top w:val="single" w:sz="4" w:space="0" w:color="auto"/>
              <w:left w:val="single" w:sz="4" w:space="0" w:color="auto"/>
              <w:bottom w:val="single" w:sz="4" w:space="0" w:color="auto"/>
              <w:right w:val="single" w:sz="4" w:space="0" w:color="auto"/>
            </w:tcBorders>
          </w:tcPr>
          <w:p w14:paraId="09E19365" w14:textId="77777777" w:rsidR="00B85C37" w:rsidRPr="00C168F9" w:rsidRDefault="00000000">
            <w:pPr>
              <w:spacing w:line="360" w:lineRule="auto"/>
              <w:ind w:firstLineChars="100" w:firstLine="240"/>
              <w:jc w:val="center"/>
              <w:rPr>
                <w:rFonts w:ascii="仿宋_GB2312" w:hAnsi="黑体" w:hint="eastAsia"/>
                <w:sz w:val="24"/>
              </w:rPr>
            </w:pPr>
            <w:r w:rsidRPr="00C168F9">
              <w:rPr>
                <w:rFonts w:ascii="仿宋_GB2312" w:hAnsi="黑体" w:hint="eastAsia"/>
                <w:sz w:val="24"/>
              </w:rPr>
              <w:t>项目效益</w:t>
            </w:r>
          </w:p>
        </w:tc>
        <w:tc>
          <w:tcPr>
            <w:tcW w:w="1620" w:type="dxa"/>
            <w:tcBorders>
              <w:top w:val="single" w:sz="4" w:space="0" w:color="auto"/>
              <w:left w:val="single" w:sz="4" w:space="0" w:color="auto"/>
              <w:bottom w:val="single" w:sz="4" w:space="0" w:color="auto"/>
              <w:right w:val="single" w:sz="4" w:space="0" w:color="auto"/>
            </w:tcBorders>
            <w:vAlign w:val="bottom"/>
          </w:tcPr>
          <w:p w14:paraId="2DE03F44" w14:textId="77777777" w:rsidR="00B85C37" w:rsidRPr="00C168F9" w:rsidRDefault="00000000">
            <w:pPr>
              <w:spacing w:line="360" w:lineRule="auto"/>
              <w:ind w:firstLineChars="100" w:firstLine="240"/>
              <w:rPr>
                <w:rFonts w:ascii="仿宋_GB2312" w:hAnsi="黑体" w:hint="eastAsia"/>
                <w:sz w:val="24"/>
              </w:rPr>
            </w:pPr>
            <w:r w:rsidRPr="00C168F9">
              <w:rPr>
                <w:rFonts w:ascii="仿宋_GB2312" w:hAnsi="黑体" w:hint="eastAsia"/>
                <w:sz w:val="24"/>
              </w:rPr>
              <w:t>合计分值</w:t>
            </w:r>
          </w:p>
        </w:tc>
      </w:tr>
      <w:tr w:rsidR="00C168F9" w:rsidRPr="00C168F9" w14:paraId="1ECC86AE" w14:textId="77777777">
        <w:trPr>
          <w:trHeight w:val="403"/>
          <w:jc w:val="center"/>
        </w:trPr>
        <w:tc>
          <w:tcPr>
            <w:tcW w:w="1180" w:type="dxa"/>
            <w:tcBorders>
              <w:top w:val="single" w:sz="4" w:space="0" w:color="auto"/>
              <w:left w:val="single" w:sz="4" w:space="0" w:color="auto"/>
              <w:bottom w:val="single" w:sz="4" w:space="0" w:color="auto"/>
              <w:right w:val="single" w:sz="4" w:space="0" w:color="auto"/>
            </w:tcBorders>
            <w:vAlign w:val="bottom"/>
          </w:tcPr>
          <w:p w14:paraId="71D5E792" w14:textId="77777777" w:rsidR="00B85C37" w:rsidRPr="00C168F9" w:rsidRDefault="00000000">
            <w:pPr>
              <w:spacing w:line="360" w:lineRule="auto"/>
              <w:ind w:firstLineChars="100" w:firstLine="240"/>
              <w:rPr>
                <w:rFonts w:ascii="仿宋_GB2312" w:hAnsi="黑体" w:hint="eastAsia"/>
                <w:sz w:val="24"/>
              </w:rPr>
            </w:pPr>
            <w:r w:rsidRPr="00C168F9">
              <w:rPr>
                <w:rFonts w:ascii="仿宋_GB2312" w:hAnsi="黑体" w:hint="eastAsia"/>
                <w:sz w:val="24"/>
              </w:rPr>
              <w:t>权重</w:t>
            </w:r>
          </w:p>
        </w:tc>
        <w:tc>
          <w:tcPr>
            <w:tcW w:w="2100" w:type="dxa"/>
            <w:tcBorders>
              <w:top w:val="single" w:sz="4" w:space="0" w:color="auto"/>
              <w:left w:val="single" w:sz="4" w:space="0" w:color="auto"/>
              <w:bottom w:val="single" w:sz="4" w:space="0" w:color="auto"/>
              <w:right w:val="single" w:sz="4" w:space="0" w:color="auto"/>
            </w:tcBorders>
            <w:vAlign w:val="bottom"/>
          </w:tcPr>
          <w:p w14:paraId="3621CB1E" w14:textId="77777777" w:rsidR="00B85C37" w:rsidRPr="00C168F9" w:rsidRDefault="00000000">
            <w:pPr>
              <w:spacing w:line="360" w:lineRule="auto"/>
              <w:ind w:firstLineChars="300" w:firstLine="720"/>
              <w:rPr>
                <w:rFonts w:ascii="仿宋_GB2312" w:hAnsi="黑体" w:hint="eastAsia"/>
                <w:sz w:val="24"/>
              </w:rPr>
            </w:pPr>
            <w:r w:rsidRPr="00C168F9">
              <w:rPr>
                <w:rFonts w:ascii="仿宋_GB2312" w:hAnsi="黑体"/>
                <w:sz w:val="24"/>
              </w:rPr>
              <w:t>15</w:t>
            </w:r>
          </w:p>
        </w:tc>
        <w:tc>
          <w:tcPr>
            <w:tcW w:w="2140" w:type="dxa"/>
            <w:tcBorders>
              <w:top w:val="single" w:sz="4" w:space="0" w:color="auto"/>
              <w:left w:val="single" w:sz="4" w:space="0" w:color="auto"/>
              <w:bottom w:val="single" w:sz="4" w:space="0" w:color="auto"/>
              <w:right w:val="single" w:sz="4" w:space="0" w:color="auto"/>
            </w:tcBorders>
            <w:vAlign w:val="bottom"/>
          </w:tcPr>
          <w:p w14:paraId="497A1A23" w14:textId="77777777" w:rsidR="00B85C37" w:rsidRPr="00C168F9" w:rsidRDefault="00000000">
            <w:pPr>
              <w:spacing w:line="360" w:lineRule="auto"/>
              <w:ind w:firstLineChars="300" w:firstLine="720"/>
              <w:rPr>
                <w:rFonts w:ascii="仿宋_GB2312" w:hAnsi="黑体" w:hint="eastAsia"/>
                <w:sz w:val="24"/>
              </w:rPr>
            </w:pPr>
            <w:r w:rsidRPr="00C168F9">
              <w:rPr>
                <w:rFonts w:ascii="仿宋_GB2312" w:hAnsi="黑体"/>
                <w:sz w:val="24"/>
              </w:rPr>
              <w:t>15</w:t>
            </w:r>
          </w:p>
        </w:tc>
        <w:tc>
          <w:tcPr>
            <w:tcW w:w="2160" w:type="dxa"/>
            <w:tcBorders>
              <w:top w:val="single" w:sz="4" w:space="0" w:color="auto"/>
              <w:left w:val="single" w:sz="4" w:space="0" w:color="auto"/>
              <w:bottom w:val="single" w:sz="4" w:space="0" w:color="auto"/>
              <w:right w:val="single" w:sz="4" w:space="0" w:color="auto"/>
            </w:tcBorders>
            <w:vAlign w:val="bottom"/>
          </w:tcPr>
          <w:p w14:paraId="6C497B31" w14:textId="77777777" w:rsidR="00B85C37" w:rsidRPr="00C168F9" w:rsidRDefault="00000000">
            <w:pPr>
              <w:spacing w:line="360" w:lineRule="auto"/>
              <w:ind w:firstLineChars="300" w:firstLine="720"/>
              <w:rPr>
                <w:rFonts w:ascii="仿宋_GB2312" w:hAnsi="黑体" w:hint="eastAsia"/>
                <w:sz w:val="24"/>
              </w:rPr>
            </w:pPr>
            <w:r w:rsidRPr="00C168F9">
              <w:rPr>
                <w:rFonts w:ascii="仿宋_GB2312" w:hAnsi="黑体"/>
                <w:sz w:val="24"/>
              </w:rPr>
              <w:t>50</w:t>
            </w:r>
          </w:p>
        </w:tc>
        <w:tc>
          <w:tcPr>
            <w:tcW w:w="1620" w:type="dxa"/>
            <w:tcBorders>
              <w:top w:val="single" w:sz="4" w:space="0" w:color="auto"/>
              <w:left w:val="single" w:sz="4" w:space="0" w:color="auto"/>
              <w:bottom w:val="single" w:sz="4" w:space="0" w:color="auto"/>
              <w:right w:val="single" w:sz="4" w:space="0" w:color="auto"/>
            </w:tcBorders>
          </w:tcPr>
          <w:p w14:paraId="5A07F5C5" w14:textId="77777777" w:rsidR="00B85C37" w:rsidRPr="00C168F9" w:rsidRDefault="00000000">
            <w:pPr>
              <w:spacing w:line="360" w:lineRule="auto"/>
              <w:ind w:firstLineChars="200" w:firstLine="480"/>
              <w:rPr>
                <w:rFonts w:ascii="仿宋_GB2312" w:hAnsi="黑体" w:hint="eastAsia"/>
                <w:sz w:val="24"/>
              </w:rPr>
            </w:pPr>
            <w:r w:rsidRPr="00C168F9">
              <w:rPr>
                <w:rFonts w:ascii="仿宋_GB2312" w:hAnsi="黑体"/>
                <w:sz w:val="24"/>
              </w:rPr>
              <w:t>20</w:t>
            </w:r>
          </w:p>
        </w:tc>
        <w:tc>
          <w:tcPr>
            <w:tcW w:w="1620" w:type="dxa"/>
            <w:tcBorders>
              <w:top w:val="single" w:sz="4" w:space="0" w:color="auto"/>
              <w:left w:val="single" w:sz="4" w:space="0" w:color="auto"/>
              <w:bottom w:val="single" w:sz="4" w:space="0" w:color="auto"/>
              <w:right w:val="single" w:sz="4" w:space="0" w:color="auto"/>
            </w:tcBorders>
            <w:vAlign w:val="bottom"/>
          </w:tcPr>
          <w:p w14:paraId="7E6C60DA" w14:textId="77777777" w:rsidR="00B85C37" w:rsidRPr="00C168F9" w:rsidRDefault="00000000">
            <w:pPr>
              <w:spacing w:line="360" w:lineRule="auto"/>
              <w:ind w:firstLineChars="200" w:firstLine="480"/>
              <w:rPr>
                <w:rFonts w:ascii="仿宋_GB2312" w:hAnsi="黑体" w:hint="eastAsia"/>
                <w:sz w:val="24"/>
              </w:rPr>
            </w:pPr>
            <w:r w:rsidRPr="00C168F9">
              <w:rPr>
                <w:rFonts w:ascii="仿宋_GB2312" w:hAnsi="黑体" w:hint="eastAsia"/>
                <w:sz w:val="24"/>
              </w:rPr>
              <w:t>100</w:t>
            </w:r>
          </w:p>
        </w:tc>
      </w:tr>
      <w:tr w:rsidR="00C168F9" w:rsidRPr="00C168F9" w14:paraId="0FE088C5" w14:textId="77777777">
        <w:trPr>
          <w:trHeight w:val="402"/>
          <w:jc w:val="center"/>
        </w:trPr>
        <w:tc>
          <w:tcPr>
            <w:tcW w:w="1180" w:type="dxa"/>
            <w:tcBorders>
              <w:top w:val="single" w:sz="4" w:space="0" w:color="auto"/>
              <w:left w:val="single" w:sz="4" w:space="0" w:color="auto"/>
              <w:bottom w:val="single" w:sz="4" w:space="0" w:color="auto"/>
              <w:right w:val="single" w:sz="4" w:space="0" w:color="auto"/>
            </w:tcBorders>
            <w:vAlign w:val="bottom"/>
          </w:tcPr>
          <w:p w14:paraId="275781E0" w14:textId="77777777" w:rsidR="00B85C37" w:rsidRPr="00C168F9" w:rsidRDefault="00000000">
            <w:pPr>
              <w:spacing w:line="360" w:lineRule="auto"/>
              <w:ind w:firstLineChars="100" w:firstLine="240"/>
              <w:rPr>
                <w:rFonts w:ascii="仿宋_GB2312" w:hAnsi="黑体" w:hint="eastAsia"/>
                <w:sz w:val="24"/>
              </w:rPr>
            </w:pPr>
            <w:r w:rsidRPr="00C168F9">
              <w:rPr>
                <w:rFonts w:ascii="仿宋_GB2312" w:hAnsi="黑体" w:hint="eastAsia"/>
                <w:sz w:val="24"/>
              </w:rPr>
              <w:t>分值</w:t>
            </w:r>
          </w:p>
        </w:tc>
        <w:tc>
          <w:tcPr>
            <w:tcW w:w="2100" w:type="dxa"/>
            <w:tcBorders>
              <w:top w:val="single" w:sz="4" w:space="0" w:color="auto"/>
              <w:left w:val="single" w:sz="4" w:space="0" w:color="auto"/>
              <w:bottom w:val="single" w:sz="4" w:space="0" w:color="auto"/>
              <w:right w:val="single" w:sz="4" w:space="0" w:color="auto"/>
            </w:tcBorders>
            <w:vAlign w:val="bottom"/>
          </w:tcPr>
          <w:p w14:paraId="631E3ED9" w14:textId="77777777" w:rsidR="00B85C37" w:rsidRPr="00C168F9" w:rsidRDefault="00000000">
            <w:pPr>
              <w:spacing w:line="360" w:lineRule="auto"/>
              <w:ind w:firstLineChars="300" w:firstLine="720"/>
              <w:rPr>
                <w:rFonts w:ascii="仿宋_GB2312" w:hAnsi="黑体" w:hint="eastAsia"/>
                <w:sz w:val="24"/>
              </w:rPr>
            </w:pPr>
            <w:r w:rsidRPr="00C168F9">
              <w:rPr>
                <w:rFonts w:ascii="仿宋_GB2312" w:hAnsi="黑体" w:hint="eastAsia"/>
                <w:sz w:val="24"/>
              </w:rPr>
              <w:t>15</w:t>
            </w:r>
          </w:p>
        </w:tc>
        <w:tc>
          <w:tcPr>
            <w:tcW w:w="2140" w:type="dxa"/>
            <w:tcBorders>
              <w:top w:val="single" w:sz="4" w:space="0" w:color="auto"/>
              <w:left w:val="single" w:sz="4" w:space="0" w:color="auto"/>
              <w:bottom w:val="single" w:sz="4" w:space="0" w:color="auto"/>
              <w:right w:val="single" w:sz="4" w:space="0" w:color="auto"/>
            </w:tcBorders>
            <w:vAlign w:val="bottom"/>
          </w:tcPr>
          <w:p w14:paraId="1A5DE7D2" w14:textId="77777777" w:rsidR="00B85C37" w:rsidRPr="00C168F9" w:rsidRDefault="00000000">
            <w:pPr>
              <w:spacing w:line="360" w:lineRule="auto"/>
              <w:ind w:firstLineChars="300" w:firstLine="720"/>
              <w:rPr>
                <w:rFonts w:ascii="仿宋_GB2312" w:hAnsi="黑体" w:hint="eastAsia"/>
                <w:sz w:val="24"/>
              </w:rPr>
            </w:pPr>
            <w:r w:rsidRPr="00C168F9">
              <w:rPr>
                <w:rFonts w:ascii="仿宋_GB2312" w:hAnsi="黑体" w:hint="eastAsia"/>
                <w:sz w:val="24"/>
              </w:rPr>
              <w:t>15</w:t>
            </w:r>
          </w:p>
        </w:tc>
        <w:tc>
          <w:tcPr>
            <w:tcW w:w="2160" w:type="dxa"/>
            <w:tcBorders>
              <w:top w:val="single" w:sz="4" w:space="0" w:color="auto"/>
              <w:left w:val="single" w:sz="4" w:space="0" w:color="auto"/>
              <w:bottom w:val="single" w:sz="4" w:space="0" w:color="auto"/>
              <w:right w:val="single" w:sz="4" w:space="0" w:color="auto"/>
            </w:tcBorders>
            <w:vAlign w:val="bottom"/>
          </w:tcPr>
          <w:p w14:paraId="1F9326BA" w14:textId="77777777" w:rsidR="00B85C37" w:rsidRPr="00C168F9" w:rsidRDefault="00000000">
            <w:pPr>
              <w:spacing w:line="360" w:lineRule="auto"/>
              <w:ind w:firstLineChars="300" w:firstLine="720"/>
              <w:rPr>
                <w:rFonts w:ascii="仿宋_GB2312" w:hAnsi="黑体" w:hint="eastAsia"/>
                <w:sz w:val="24"/>
              </w:rPr>
            </w:pPr>
            <w:r w:rsidRPr="00C168F9">
              <w:rPr>
                <w:rFonts w:ascii="仿宋_GB2312" w:hAnsi="黑体" w:hint="eastAsia"/>
                <w:sz w:val="24"/>
              </w:rPr>
              <w:t>31</w:t>
            </w:r>
          </w:p>
        </w:tc>
        <w:tc>
          <w:tcPr>
            <w:tcW w:w="1620" w:type="dxa"/>
            <w:tcBorders>
              <w:top w:val="single" w:sz="4" w:space="0" w:color="auto"/>
              <w:left w:val="single" w:sz="4" w:space="0" w:color="auto"/>
              <w:bottom w:val="single" w:sz="4" w:space="0" w:color="auto"/>
              <w:right w:val="single" w:sz="4" w:space="0" w:color="auto"/>
            </w:tcBorders>
          </w:tcPr>
          <w:p w14:paraId="6B417354" w14:textId="77777777" w:rsidR="00B85C37" w:rsidRPr="00C168F9" w:rsidRDefault="00000000">
            <w:pPr>
              <w:spacing w:line="360" w:lineRule="auto"/>
              <w:ind w:firstLineChars="200" w:firstLine="480"/>
              <w:rPr>
                <w:rFonts w:ascii="仿宋_GB2312" w:hAnsi="黑体" w:hint="eastAsia"/>
                <w:sz w:val="24"/>
              </w:rPr>
            </w:pPr>
            <w:r w:rsidRPr="00C168F9">
              <w:rPr>
                <w:rFonts w:ascii="仿宋_GB2312" w:hAnsi="黑体" w:hint="eastAsia"/>
                <w:sz w:val="24"/>
              </w:rPr>
              <w:t>20</w:t>
            </w:r>
          </w:p>
        </w:tc>
        <w:tc>
          <w:tcPr>
            <w:tcW w:w="1620" w:type="dxa"/>
            <w:tcBorders>
              <w:top w:val="single" w:sz="4" w:space="0" w:color="auto"/>
              <w:left w:val="single" w:sz="4" w:space="0" w:color="auto"/>
              <w:bottom w:val="single" w:sz="4" w:space="0" w:color="auto"/>
              <w:right w:val="single" w:sz="4" w:space="0" w:color="auto"/>
            </w:tcBorders>
            <w:vAlign w:val="bottom"/>
          </w:tcPr>
          <w:p w14:paraId="48F23B7A" w14:textId="77777777" w:rsidR="00B85C37" w:rsidRPr="00C168F9" w:rsidRDefault="00000000">
            <w:pPr>
              <w:spacing w:line="360" w:lineRule="auto"/>
              <w:ind w:firstLineChars="200" w:firstLine="480"/>
              <w:rPr>
                <w:rFonts w:ascii="仿宋_GB2312" w:hAnsi="黑体" w:hint="eastAsia"/>
                <w:sz w:val="24"/>
              </w:rPr>
            </w:pPr>
            <w:r w:rsidRPr="00C168F9">
              <w:rPr>
                <w:rFonts w:ascii="仿宋_GB2312" w:hAnsi="黑体" w:hint="eastAsia"/>
                <w:sz w:val="24"/>
              </w:rPr>
              <w:t>81</w:t>
            </w:r>
          </w:p>
        </w:tc>
      </w:tr>
    </w:tbl>
    <w:p w14:paraId="33EBB20D" w14:textId="77777777" w:rsidR="00B85C37" w:rsidRPr="00C168F9" w:rsidRDefault="00000000">
      <w:pPr>
        <w:pStyle w:val="1"/>
        <w:spacing w:line="360" w:lineRule="auto"/>
        <w:rPr>
          <w:rFonts w:ascii="仿宋_GB2312" w:hAnsi="黑体" w:hint="eastAsia"/>
          <w:b w:val="0"/>
          <w:bCs w:val="0"/>
        </w:rPr>
      </w:pPr>
      <w:r w:rsidRPr="00C168F9">
        <w:rPr>
          <w:rFonts w:ascii="仿宋_GB2312" w:hAnsi="黑体" w:hint="eastAsia"/>
          <w:b w:val="0"/>
          <w:bCs w:val="0"/>
        </w:rPr>
        <w:t>四、绩效评价指标分析</w:t>
      </w:r>
    </w:p>
    <w:p w14:paraId="741A774F" w14:textId="77777777" w:rsidR="00B85C37" w:rsidRPr="00C168F9" w:rsidRDefault="00000000">
      <w:pPr>
        <w:spacing w:line="360" w:lineRule="auto"/>
        <w:ind w:firstLineChars="200" w:firstLine="643"/>
        <w:rPr>
          <w:rFonts w:ascii="仿宋_GB2312" w:hAnsi="黑体" w:hint="eastAsia"/>
        </w:rPr>
      </w:pPr>
      <w:r w:rsidRPr="00C168F9">
        <w:rPr>
          <w:rStyle w:val="20"/>
          <w:rFonts w:ascii="仿宋_GB2312" w:eastAsia="仿宋_GB2312" w:hAnsi="黑体" w:hint="eastAsia"/>
        </w:rPr>
        <w:t>（一）项目决策情况</w:t>
      </w:r>
    </w:p>
    <w:p w14:paraId="366002B1"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1.立项依据充分性</w:t>
      </w:r>
    </w:p>
    <w:p w14:paraId="1C5416D8" w14:textId="77777777" w:rsidR="00B85C37" w:rsidRPr="00C168F9" w:rsidRDefault="00000000">
      <w:pPr>
        <w:spacing w:line="360" w:lineRule="auto"/>
        <w:ind w:left="600"/>
        <w:rPr>
          <w:rFonts w:ascii="仿宋_GB2312" w:hAnsi="黑体" w:hint="eastAsia"/>
        </w:rPr>
      </w:pPr>
      <w:r w:rsidRPr="00C168F9">
        <w:rPr>
          <w:rFonts w:ascii="仿宋_GB2312" w:hAnsi="黑体" w:hint="eastAsia"/>
        </w:rPr>
        <w:t>（1）项目立项依据《昌州财社（2022）52号-关于提前下达2023年中央财政医疗服务与保障能力提升（医疗卫生机构能力建设）</w:t>
      </w:r>
      <w:r w:rsidRPr="00C168F9">
        <w:rPr>
          <w:rFonts w:ascii="仿宋_GB2312" w:hAnsi="黑体" w:hint="eastAsia"/>
        </w:rPr>
        <w:lastRenderedPageBreak/>
        <w:t>补助资金预算的通知》</w:t>
      </w:r>
      <w:r w:rsidRPr="00C168F9">
        <w:rPr>
          <w:rFonts w:ascii="仿宋_GB2312" w:hAnsi="黑体" w:hint="eastAsia"/>
        </w:rPr>
        <w:br/>
        <w:t>2.立项程序规范性</w:t>
      </w:r>
    </w:p>
    <w:p w14:paraId="60FD2E70"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①项目立项程序：提报项目建议书、申请立项过程等均按照立项程序的相关规定进行；</w:t>
      </w:r>
      <w:r w:rsidRPr="00C168F9">
        <w:rPr>
          <w:rFonts w:ascii="仿宋_GB2312" w:hAnsi="黑体" w:hint="eastAsia"/>
        </w:rPr>
        <w:br/>
        <w:t xml:space="preserve">    ②审批文件、材料：本项目审批文件有：《分配表》、《文件》、审批文件及材料齐全；</w:t>
      </w:r>
      <w:r w:rsidRPr="00C168F9">
        <w:rPr>
          <w:rFonts w:ascii="仿宋_GB2312" w:hAnsi="黑体" w:hint="eastAsia"/>
        </w:rPr>
        <w:br/>
        <w:t xml:space="preserve">    ③项目事前工作：本项目已经过必要的可行性研究、专家论证、风险评估、绩效评估、集体决策、按时执行。</w:t>
      </w:r>
      <w:r w:rsidRPr="00C168F9">
        <w:rPr>
          <w:rFonts w:ascii="仿宋_GB2312" w:hAnsi="黑体" w:hint="eastAsia"/>
        </w:rPr>
        <w:br/>
        <w:t>3.绩效目标合理性</w:t>
      </w:r>
    </w:p>
    <w:p w14:paraId="6BEB73F3"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2023年中央财政医疗服务与保障能力提升（医疗卫生机构能力建设）项目设立了项目绩效目标，与木垒县人民医院信息化建设具有相关性，项目的预期产出效益和效果也均能符合正常的业绩水平，并且与预算确定的项目投资额或资金量相匹配。</w:t>
      </w:r>
    </w:p>
    <w:p w14:paraId="42CC1562"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4.绩效指标明确性</w:t>
      </w:r>
    </w:p>
    <w:p w14:paraId="2A5D1DDB" w14:textId="77777777" w:rsidR="00B85C37" w:rsidRPr="00C168F9" w:rsidRDefault="00000000">
      <w:pPr>
        <w:spacing w:line="360" w:lineRule="auto"/>
        <w:ind w:firstLineChars="200" w:firstLine="600"/>
        <w:rPr>
          <w:rFonts w:ascii="仿宋_GB2312" w:hAnsi="黑体" w:hint="eastAsia"/>
        </w:rPr>
      </w:pPr>
      <w:bookmarkStart w:id="1" w:name="_Hlk68699917"/>
      <w:r w:rsidRPr="00C168F9">
        <w:rPr>
          <w:rFonts w:ascii="仿宋_GB2312" w:hAnsi="黑体" w:hint="eastAsia"/>
        </w:rPr>
        <w:t>2023年中央财政医疗服务与保障能力提升（医疗卫生机构能力建设）项目将项目绩效目标细化分解为具体的绩效指标，一级指标共4条，二级指标共6条，三级指标共12条，其中量化指标条数共12条，所有绩效指标均通过清晰、可衡量的指标</w:t>
      </w:r>
      <w:proofErr w:type="gramStart"/>
      <w:r w:rsidRPr="00C168F9">
        <w:rPr>
          <w:rFonts w:ascii="仿宋_GB2312" w:hAnsi="黑体" w:hint="eastAsia"/>
        </w:rPr>
        <w:t>值予以</w:t>
      </w:r>
      <w:proofErr w:type="gramEnd"/>
      <w:r w:rsidRPr="00C168F9">
        <w:rPr>
          <w:rFonts w:ascii="仿宋_GB2312" w:hAnsi="黑体" w:hint="eastAsia"/>
        </w:rPr>
        <w:t>体现，并且做到了与项目目标任务数或计划数相对应。</w:t>
      </w:r>
      <w:bookmarkEnd w:id="1"/>
    </w:p>
    <w:p w14:paraId="514F1873"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5.预算编制科学性</w:t>
      </w:r>
    </w:p>
    <w:p w14:paraId="6269CEF7"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 xml:space="preserve">  本项目建设内容及工程</w:t>
      </w:r>
      <w:proofErr w:type="gramStart"/>
      <w:r w:rsidRPr="00C168F9">
        <w:rPr>
          <w:rFonts w:ascii="仿宋_GB2312" w:hAnsi="黑体" w:hint="eastAsia"/>
        </w:rPr>
        <w:t>量严格</w:t>
      </w:r>
      <w:proofErr w:type="gramEnd"/>
      <w:r w:rsidRPr="00C168F9">
        <w:rPr>
          <w:rFonts w:ascii="仿宋_GB2312" w:hAnsi="黑体" w:hint="eastAsia"/>
        </w:rPr>
        <w:t>按照《建设工程工程量清单计</w:t>
      </w:r>
      <w:r w:rsidRPr="00C168F9">
        <w:rPr>
          <w:rFonts w:ascii="仿宋_GB2312" w:hAnsi="黑体" w:hint="eastAsia"/>
        </w:rPr>
        <w:lastRenderedPageBreak/>
        <w:t>价规范》（GB50500-2013）规定计算，项目预算编制根据项目建设内容进行计算，预算</w:t>
      </w:r>
      <w:proofErr w:type="gramStart"/>
      <w:r w:rsidRPr="00C168F9">
        <w:rPr>
          <w:rFonts w:ascii="仿宋_GB2312" w:hAnsi="黑体" w:hint="eastAsia"/>
        </w:rPr>
        <w:t>数经过</w:t>
      </w:r>
      <w:proofErr w:type="gramEnd"/>
      <w:r w:rsidRPr="00C168F9">
        <w:rPr>
          <w:rFonts w:ascii="仿宋_GB2312" w:hAnsi="黑体" w:hint="eastAsia"/>
        </w:rPr>
        <w:t>支委会会议及专家论证确定，预算内容与项目内容无偏差，预算额度测算依据充分，项目投资额与工作任务匹配性100%，不存在偏差性。</w:t>
      </w:r>
    </w:p>
    <w:p w14:paraId="1035B5BF"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6.资金分配合理性</w:t>
      </w:r>
    </w:p>
    <w:p w14:paraId="778A15F5"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 xml:space="preserve"> 本项目预算资金分配依据《昌州财社（2022）52号-关于提前下达2023年中央财政医疗服务与保障能力提升（医疗卫生机构能力建设）补助资金预算的通知》，项目资金分配额度无偏低或偏高情况，分配额度合理。项目单位为木垒哈萨克自治县人民医院单位位于木垒县，资金分配与单位实际相适应。</w:t>
      </w:r>
    </w:p>
    <w:p w14:paraId="07795357" w14:textId="77777777" w:rsidR="00B85C37" w:rsidRPr="00C168F9" w:rsidRDefault="00000000">
      <w:pPr>
        <w:pStyle w:val="2"/>
        <w:spacing w:line="360" w:lineRule="auto"/>
        <w:rPr>
          <w:rFonts w:ascii="仿宋_GB2312" w:eastAsia="仿宋_GB2312" w:hAnsi="黑体" w:hint="eastAsia"/>
          <w:b w:val="0"/>
          <w:bCs w:val="0"/>
        </w:rPr>
      </w:pPr>
      <w:r w:rsidRPr="00C168F9">
        <w:rPr>
          <w:rFonts w:ascii="仿宋_GB2312" w:eastAsia="仿宋_GB2312" w:hAnsi="黑体" w:hint="eastAsia"/>
          <w:b w:val="0"/>
          <w:bCs w:val="0"/>
        </w:rPr>
        <w:t>（二）项目过程情况</w:t>
      </w:r>
    </w:p>
    <w:p w14:paraId="547EE37B" w14:textId="77777777" w:rsidR="00B85C37" w:rsidRPr="00C168F9" w:rsidRDefault="00000000">
      <w:pPr>
        <w:spacing w:line="360" w:lineRule="auto"/>
        <w:rPr>
          <w:rFonts w:ascii="仿宋_GB2312" w:hAnsi="黑体" w:hint="eastAsia"/>
        </w:rPr>
      </w:pPr>
      <w:r w:rsidRPr="00C168F9">
        <w:rPr>
          <w:rFonts w:ascii="仿宋_GB2312" w:hAnsi="黑体" w:hint="eastAsia"/>
        </w:rPr>
        <w:t>1.资金到位率：</w:t>
      </w:r>
    </w:p>
    <w:p w14:paraId="22E9CC56"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实际到位资金200万元，预算资金200万元，资金到位率100%。</w:t>
      </w:r>
    </w:p>
    <w:p w14:paraId="7E50D33C" w14:textId="77777777" w:rsidR="00B85C37" w:rsidRPr="00C168F9" w:rsidRDefault="00000000">
      <w:pPr>
        <w:spacing w:line="360" w:lineRule="auto"/>
        <w:rPr>
          <w:rFonts w:ascii="仿宋_GB2312" w:hAnsi="黑体" w:hint="eastAsia"/>
        </w:rPr>
      </w:pPr>
      <w:r w:rsidRPr="00C168F9">
        <w:rPr>
          <w:rFonts w:ascii="仿宋_GB2312" w:hAnsi="黑体" w:hint="eastAsia"/>
        </w:rPr>
        <w:t>2.预算执行率</w:t>
      </w:r>
    </w:p>
    <w:p w14:paraId="7DC49662"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年初预算数0万元，全年预算数200万元，全年执行数200万元，预算执行率为100%。</w:t>
      </w:r>
    </w:p>
    <w:p w14:paraId="79CA3BE3" w14:textId="77777777" w:rsidR="00B85C37" w:rsidRPr="00C168F9" w:rsidRDefault="00000000">
      <w:pPr>
        <w:spacing w:line="360" w:lineRule="auto"/>
        <w:rPr>
          <w:rFonts w:ascii="仿宋_GB2312" w:hAnsi="黑体" w:hint="eastAsia"/>
        </w:rPr>
      </w:pPr>
      <w:r w:rsidRPr="00C168F9">
        <w:rPr>
          <w:rFonts w:ascii="仿宋_GB2312" w:hAnsi="黑体" w:hint="eastAsia"/>
        </w:rPr>
        <w:t>3.资金使用合</w:t>
      </w:r>
      <w:proofErr w:type="gramStart"/>
      <w:r w:rsidRPr="00C168F9">
        <w:rPr>
          <w:rFonts w:ascii="仿宋_GB2312" w:hAnsi="黑体" w:hint="eastAsia"/>
        </w:rPr>
        <w:t>规</w:t>
      </w:r>
      <w:proofErr w:type="gramEnd"/>
      <w:r w:rsidRPr="00C168F9">
        <w:rPr>
          <w:rFonts w:ascii="仿宋_GB2312" w:hAnsi="黑体" w:hint="eastAsia"/>
        </w:rPr>
        <w:t>性</w:t>
      </w:r>
    </w:p>
    <w:p w14:paraId="5E687145"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3.1 资金使用符合、财务管理制度以及有关专项资金管理办法的规定；</w:t>
      </w:r>
    </w:p>
    <w:p w14:paraId="67CE3D01" w14:textId="77777777" w:rsidR="00B85C37" w:rsidRPr="00C168F9" w:rsidRDefault="00000000">
      <w:pPr>
        <w:spacing w:line="360" w:lineRule="auto"/>
        <w:ind w:firstLineChars="200" w:firstLine="600"/>
        <w:rPr>
          <w:rStyle w:val="aa"/>
          <w:rFonts w:ascii="楷体" w:eastAsia="楷体" w:hAnsi="楷体" w:hint="eastAsia"/>
          <w:spacing w:val="-4"/>
          <w:sz w:val="32"/>
          <w:szCs w:val="32"/>
        </w:rPr>
      </w:pPr>
      <w:r w:rsidRPr="00C168F9">
        <w:rPr>
          <w:rFonts w:ascii="仿宋_GB2312" w:hAnsi="黑体" w:hint="eastAsia"/>
        </w:rPr>
        <w:t>3.2 资金的拨付严格按照事业单位资金拨付审批程序进行：由</w:t>
      </w:r>
      <w:r w:rsidRPr="00C168F9">
        <w:rPr>
          <w:rFonts w:ascii="仿宋_GB2312" w:hAnsi="黑体" w:hint="eastAsia"/>
        </w:rPr>
        <w:lastRenderedPageBreak/>
        <w:t>财务科室提交院办申请到院长领导，经审批后提交到分管领导。项目资金拨付手续齐全，资金拨付手续有：资金申请单、文件、分配表。</w:t>
      </w:r>
      <w:r w:rsidRPr="00C168F9">
        <w:rPr>
          <w:rFonts w:ascii="仿宋_GB2312" w:hAnsi="黑体" w:hint="eastAsia"/>
        </w:rPr>
        <w:br/>
        <w:t>3.3 本项目资金合同规定的用途为：本项目资金合同规定符合项目预算批复及合同规定的用途；</w:t>
      </w:r>
    </w:p>
    <w:p w14:paraId="6E074081"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3.4 项目资金截至2023年12月31日已拨付至100%，过程不存在截留、挤占、挪用、虚列支出等情况。</w:t>
      </w:r>
    </w:p>
    <w:p w14:paraId="27427958" w14:textId="77777777" w:rsidR="00B85C37" w:rsidRPr="00C168F9" w:rsidRDefault="00000000">
      <w:pPr>
        <w:spacing w:line="360" w:lineRule="auto"/>
        <w:rPr>
          <w:rFonts w:ascii="仿宋_GB2312" w:hAnsi="黑体" w:hint="eastAsia"/>
        </w:rPr>
      </w:pPr>
      <w:r w:rsidRPr="00C168F9">
        <w:rPr>
          <w:rFonts w:ascii="仿宋_GB2312" w:hAnsi="黑体" w:hint="eastAsia"/>
        </w:rPr>
        <w:t>4.管理制度健全性</w:t>
      </w:r>
    </w:p>
    <w:p w14:paraId="3C35EEC6"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4.1 本项目已制定《木垒县县医疗事业单位资金项目财务管理制度》、管理制度健全；</w:t>
      </w:r>
    </w:p>
    <w:p w14:paraId="7C15F88B"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4.2 本项目财务及业务管理制度符合《中华人民共和国政府采购法》、《中华人民共和国会计法》等相关法律法规，财务和业务管理制度已经过院办会审批通过，确保了各项制度的合法合</w:t>
      </w:r>
      <w:proofErr w:type="gramStart"/>
      <w:r w:rsidRPr="00C168F9">
        <w:rPr>
          <w:rFonts w:ascii="仿宋_GB2312" w:hAnsi="黑体" w:hint="eastAsia"/>
        </w:rPr>
        <w:t>规</w:t>
      </w:r>
      <w:proofErr w:type="gramEnd"/>
      <w:r w:rsidRPr="00C168F9">
        <w:rPr>
          <w:rFonts w:ascii="仿宋_GB2312" w:hAnsi="黑体" w:hint="eastAsia"/>
        </w:rPr>
        <w:t>性及完整性。</w:t>
      </w:r>
      <w:r w:rsidRPr="00C168F9">
        <w:rPr>
          <w:rFonts w:ascii="仿宋_GB2312" w:hAnsi="黑体" w:hint="eastAsia"/>
        </w:rPr>
        <w:br/>
        <w:t>5.制度执行有效性</w:t>
      </w:r>
    </w:p>
    <w:p w14:paraId="71ECEBCC" w14:textId="77777777" w:rsidR="00B85C37" w:rsidRPr="00C168F9" w:rsidRDefault="00000000">
      <w:pPr>
        <w:spacing w:line="540" w:lineRule="exact"/>
        <w:ind w:firstLineChars="100" w:firstLine="300"/>
        <w:rPr>
          <w:rFonts w:ascii="仿宋_GB2312" w:hAnsi="黑体" w:hint="eastAsia"/>
        </w:rPr>
      </w:pPr>
      <w:r w:rsidRPr="00C168F9">
        <w:rPr>
          <w:rFonts w:ascii="仿宋_GB2312" w:hAnsi="黑体" w:hint="eastAsia"/>
        </w:rPr>
        <w:t xml:space="preserve"> 5.1 项目的审批、招标、建设、验收过程均遵守相关法律法规和相关管理规定；</w:t>
      </w:r>
      <w:r w:rsidRPr="00C168F9">
        <w:rPr>
          <w:rFonts w:ascii="仿宋_GB2312" w:hAnsi="黑体" w:hint="eastAsia"/>
        </w:rPr>
        <w:br/>
        <w:t xml:space="preserve">   5.3 项目合同书、验收报告、技术鉴定等资料齐全并已及时归档。</w:t>
      </w:r>
      <w:r w:rsidRPr="00C168F9">
        <w:rPr>
          <w:rFonts w:ascii="仿宋_GB2312" w:hAnsi="黑体" w:hint="eastAsia"/>
        </w:rPr>
        <w:br/>
        <w:t xml:space="preserve">   5.4 项目实施的人员条件、场地设备、信息支撑等均已落实到位。</w:t>
      </w:r>
    </w:p>
    <w:p w14:paraId="291EE254" w14:textId="77777777" w:rsidR="00B85C37" w:rsidRPr="00C168F9" w:rsidRDefault="00000000">
      <w:pPr>
        <w:pStyle w:val="2"/>
        <w:spacing w:line="360" w:lineRule="auto"/>
        <w:rPr>
          <w:rFonts w:ascii="仿宋_GB2312" w:eastAsia="仿宋_GB2312" w:hAnsi="黑体" w:hint="eastAsia"/>
          <w:b w:val="0"/>
          <w:bCs w:val="0"/>
        </w:rPr>
      </w:pPr>
      <w:r w:rsidRPr="00C168F9">
        <w:rPr>
          <w:rFonts w:ascii="仿宋_GB2312" w:eastAsia="仿宋_GB2312" w:hAnsi="黑体" w:hint="eastAsia"/>
          <w:b w:val="0"/>
          <w:bCs w:val="0"/>
        </w:rPr>
        <w:t>（三）项目产出情况</w:t>
      </w:r>
    </w:p>
    <w:p w14:paraId="20DD75AD" w14:textId="77777777" w:rsidR="00B85C37" w:rsidRPr="00C168F9" w:rsidRDefault="00000000">
      <w:r w:rsidRPr="00C168F9">
        <w:rPr>
          <w:rFonts w:hint="eastAsia"/>
        </w:rPr>
        <w:t>我单位</w:t>
      </w:r>
      <w:r w:rsidRPr="00C168F9">
        <w:rPr>
          <w:rFonts w:ascii="仿宋_GB2312" w:hAnsi="黑体" w:hint="eastAsia"/>
        </w:rPr>
        <w:t>2023年中央财政医疗服务与保障能力提升（医疗卫生机构能</w:t>
      </w:r>
      <w:r w:rsidRPr="00C168F9">
        <w:rPr>
          <w:rFonts w:ascii="仿宋_GB2312" w:hAnsi="黑体" w:hint="eastAsia"/>
        </w:rPr>
        <w:lastRenderedPageBreak/>
        <w:t>力建设）项目截止到2023年12月31日，已完成信息化建设软件购置、配套物资购置等工作，通过重点专科建设、县域</w:t>
      </w:r>
      <w:proofErr w:type="gramStart"/>
      <w:r w:rsidRPr="00C168F9">
        <w:rPr>
          <w:rFonts w:ascii="仿宋_GB2312" w:hAnsi="黑体" w:hint="eastAsia"/>
        </w:rPr>
        <w:t>医</w:t>
      </w:r>
      <w:proofErr w:type="gramEnd"/>
      <w:r w:rsidRPr="00C168F9">
        <w:rPr>
          <w:rFonts w:ascii="仿宋_GB2312" w:hAnsi="黑体" w:hint="eastAsia"/>
        </w:rPr>
        <w:t>共体、设备采购、技术引进等，进一步完善县域医疗卫 生服务体系，不断满足县域患者不同层次的看病就医需求。</w:t>
      </w:r>
    </w:p>
    <w:p w14:paraId="6AF83A6C" w14:textId="77777777" w:rsidR="00B85C37" w:rsidRPr="00C168F9" w:rsidRDefault="00000000">
      <w:pPr>
        <w:spacing w:line="360" w:lineRule="auto"/>
        <w:ind w:firstLineChars="188" w:firstLine="564"/>
        <w:rPr>
          <w:rFonts w:ascii="仿宋_GB2312" w:hAnsi="黑体" w:hint="eastAsia"/>
        </w:rPr>
      </w:pPr>
      <w:r w:rsidRPr="00C168F9">
        <w:rPr>
          <w:rFonts w:ascii="仿宋_GB2312" w:hAnsi="黑体" w:hint="eastAsia"/>
        </w:rPr>
        <w:t>1</w:t>
      </w:r>
      <w:r w:rsidRPr="00C168F9">
        <w:rPr>
          <w:rFonts w:ascii="仿宋_GB2312" w:hAnsi="黑体"/>
        </w:rPr>
        <w:t>.</w:t>
      </w:r>
      <w:r w:rsidRPr="00C168F9">
        <w:rPr>
          <w:rFonts w:ascii="仿宋_GB2312" w:hAnsi="黑体" w:hint="eastAsia"/>
        </w:rPr>
        <w:t>项目完成数量</w:t>
      </w:r>
    </w:p>
    <w:p w14:paraId="4FE63380"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指标1：购置打印机数量，指标值：≥5台，实际完成值9台，指标完成率100%，偏差原因：无；</w:t>
      </w:r>
    </w:p>
    <w:p w14:paraId="4D528F7D"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指标2：购置办公电脑数量，指标值：≥5台，实际完成值12台，指标完成率100%，偏差原因：无；</w:t>
      </w:r>
    </w:p>
    <w:p w14:paraId="73578E04"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指标3：信息化建设软件，指标值：≥1套，实际完成值1套，指标完成率100%，偏差原因：无；</w:t>
      </w:r>
    </w:p>
    <w:p w14:paraId="00F026F8" w14:textId="77777777" w:rsidR="00B85C37" w:rsidRPr="00C168F9" w:rsidRDefault="00000000">
      <w:pPr>
        <w:spacing w:line="360" w:lineRule="auto"/>
        <w:ind w:firstLineChars="188" w:firstLine="564"/>
        <w:rPr>
          <w:rFonts w:ascii="仿宋_GB2312" w:hAnsi="黑体" w:hint="eastAsia"/>
        </w:rPr>
      </w:pPr>
      <w:r w:rsidRPr="00C168F9">
        <w:rPr>
          <w:rFonts w:ascii="仿宋_GB2312" w:hAnsi="黑体" w:hint="eastAsia"/>
        </w:rPr>
        <w:t>2.项目完成质量：</w:t>
      </w:r>
    </w:p>
    <w:p w14:paraId="1813A0C8"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指标1：信息化软件安装合格率，指标值=100%，，实际完成值100%，指标完成率100%，偏差原因：无；</w:t>
      </w:r>
    </w:p>
    <w:p w14:paraId="440BE456"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指标2：政府采购率，指标值：=100%，实际完成值100%，指标完成率100%，偏差原因：无；</w:t>
      </w:r>
    </w:p>
    <w:p w14:paraId="174387C1"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指标3：办公设备验收合格率，指标值：=100%，实际完成值100%，指标完成率100%，偏差原因：无；</w:t>
      </w:r>
    </w:p>
    <w:p w14:paraId="14BBC471" w14:textId="77777777" w:rsidR="00B85C37" w:rsidRPr="00C168F9" w:rsidRDefault="00000000">
      <w:pPr>
        <w:spacing w:line="360" w:lineRule="auto"/>
        <w:ind w:firstLineChars="188" w:firstLine="564"/>
        <w:rPr>
          <w:rFonts w:ascii="仿宋_GB2312" w:hAnsi="黑体" w:hint="eastAsia"/>
        </w:rPr>
      </w:pPr>
      <w:r w:rsidRPr="00C168F9">
        <w:rPr>
          <w:rFonts w:ascii="仿宋_GB2312" w:hAnsi="黑体" w:hint="eastAsia"/>
        </w:rPr>
        <w:t>3.项目完成时效</w:t>
      </w:r>
    </w:p>
    <w:p w14:paraId="026BE7EA"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指标1：资金支付及时率，指标值：≥95% ，实际完成值100%，指标完成率100%，偏差原因：无；</w:t>
      </w:r>
    </w:p>
    <w:p w14:paraId="00ACACB7"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指标2：项目完成及时率，指标值：=100% ，实际完成值100%，指标完成率100%，偏差原因：无；</w:t>
      </w:r>
    </w:p>
    <w:p w14:paraId="7B6A9E81" w14:textId="77777777" w:rsidR="00B85C37" w:rsidRPr="00C168F9" w:rsidRDefault="00000000">
      <w:pPr>
        <w:spacing w:line="360" w:lineRule="auto"/>
        <w:ind w:firstLineChars="188" w:firstLine="564"/>
        <w:rPr>
          <w:rFonts w:ascii="仿宋_GB2312" w:hAnsi="黑体" w:hint="eastAsia"/>
        </w:rPr>
      </w:pPr>
      <w:r w:rsidRPr="00C168F9">
        <w:rPr>
          <w:rFonts w:ascii="仿宋_GB2312" w:hAnsi="黑体" w:hint="eastAsia"/>
        </w:rPr>
        <w:lastRenderedPageBreak/>
        <w:t>4.项目完成成本</w:t>
      </w:r>
    </w:p>
    <w:p w14:paraId="444FAA47"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指标1：购置办公设备费用，指标值：≤6.4万元 ，实际完成值6.4万元，指标完成率100%，偏差原因：无；</w:t>
      </w:r>
    </w:p>
    <w:p w14:paraId="3F443059"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指标2：购置信息化建设费用，指标值：≤193.6万元 ，实际完成值193.6万元，指标完成率100%，偏差原因：无；</w:t>
      </w:r>
    </w:p>
    <w:p w14:paraId="35FF95E8" w14:textId="77777777" w:rsidR="00B85C37" w:rsidRPr="00C168F9" w:rsidRDefault="00000000">
      <w:pPr>
        <w:pStyle w:val="2"/>
        <w:spacing w:line="360" w:lineRule="auto"/>
        <w:rPr>
          <w:rFonts w:ascii="仿宋_GB2312" w:eastAsia="仿宋_GB2312" w:hAnsi="黑体" w:hint="eastAsia"/>
          <w:b w:val="0"/>
          <w:bCs w:val="0"/>
        </w:rPr>
      </w:pPr>
      <w:r w:rsidRPr="00C168F9">
        <w:rPr>
          <w:rFonts w:ascii="仿宋_GB2312" w:eastAsia="仿宋_GB2312" w:hAnsi="黑体" w:hint="eastAsia"/>
          <w:b w:val="0"/>
          <w:bCs w:val="0"/>
        </w:rPr>
        <w:t>（四）项目效益情况。</w:t>
      </w:r>
    </w:p>
    <w:p w14:paraId="2926BB60" w14:textId="77777777" w:rsidR="00B85C37" w:rsidRPr="00C168F9" w:rsidRDefault="00000000">
      <w:pPr>
        <w:ind w:firstLineChars="100" w:firstLine="300"/>
      </w:pPr>
      <w:r w:rsidRPr="00C168F9">
        <w:rPr>
          <w:rFonts w:hint="eastAsia"/>
        </w:rPr>
        <w:t>我单位</w:t>
      </w:r>
      <w:r w:rsidRPr="00C168F9">
        <w:rPr>
          <w:rFonts w:ascii="仿宋_GB2312" w:hAnsi="黑体" w:hint="eastAsia"/>
        </w:rPr>
        <w:t>2023年中央财政医疗服务与保障能力提升（医疗卫生机构能力建设）项目</w:t>
      </w:r>
      <w:r w:rsidRPr="00C168F9">
        <w:rPr>
          <w:rFonts w:hint="eastAsia"/>
        </w:rPr>
        <w:t>截止到</w:t>
      </w:r>
      <w:r w:rsidRPr="00C168F9">
        <w:rPr>
          <w:rFonts w:hint="eastAsia"/>
        </w:rPr>
        <w:t>2023</w:t>
      </w:r>
      <w:r w:rsidRPr="00C168F9">
        <w:rPr>
          <w:rFonts w:hint="eastAsia"/>
        </w:rPr>
        <w:t>年</w:t>
      </w:r>
      <w:r w:rsidRPr="00C168F9">
        <w:rPr>
          <w:rFonts w:hint="eastAsia"/>
        </w:rPr>
        <w:t>12</w:t>
      </w:r>
      <w:r w:rsidRPr="00C168F9">
        <w:rPr>
          <w:rFonts w:hint="eastAsia"/>
        </w:rPr>
        <w:t>月</w:t>
      </w:r>
      <w:r w:rsidRPr="00C168F9">
        <w:rPr>
          <w:rFonts w:hint="eastAsia"/>
        </w:rPr>
        <w:t>31</w:t>
      </w:r>
      <w:r w:rsidRPr="00C168F9">
        <w:rPr>
          <w:rFonts w:hint="eastAsia"/>
        </w:rPr>
        <w:t>日，已完成</w:t>
      </w:r>
      <w:r w:rsidRPr="00C168F9">
        <w:rPr>
          <w:rFonts w:hint="eastAsia"/>
        </w:rPr>
        <w:t>100%</w:t>
      </w:r>
      <w:r w:rsidRPr="00C168F9">
        <w:rPr>
          <w:rFonts w:hint="eastAsia"/>
        </w:rPr>
        <w:t>；其中：</w:t>
      </w:r>
    </w:p>
    <w:p w14:paraId="4DEF2066" w14:textId="77777777" w:rsidR="00B85C37" w:rsidRPr="00C168F9" w:rsidRDefault="00000000">
      <w:pPr>
        <w:pStyle w:val="ab"/>
        <w:numPr>
          <w:ilvl w:val="0"/>
          <w:numId w:val="2"/>
        </w:numPr>
        <w:spacing w:line="360" w:lineRule="auto"/>
        <w:ind w:firstLineChars="0"/>
        <w:rPr>
          <w:rFonts w:ascii="仿宋_GB2312" w:hAnsi="黑体" w:hint="eastAsia"/>
        </w:rPr>
      </w:pPr>
      <w:r w:rsidRPr="00C168F9">
        <w:rPr>
          <w:rFonts w:ascii="仿宋_GB2312" w:hAnsi="黑体" w:hint="eastAsia"/>
        </w:rPr>
        <w:t>项目实施的经济效益分析：</w:t>
      </w:r>
    </w:p>
    <w:p w14:paraId="69BAD0AE"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无。</w:t>
      </w:r>
    </w:p>
    <w:p w14:paraId="3EE48511"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2.项目实施的社会效益分析</w:t>
      </w:r>
    </w:p>
    <w:p w14:paraId="5FD1BF8E" w14:textId="77777777" w:rsidR="00B85C37" w:rsidRPr="00C168F9" w:rsidRDefault="00000000">
      <w:pPr>
        <w:spacing w:line="360" w:lineRule="auto"/>
        <w:ind w:firstLineChars="200" w:firstLine="600"/>
        <w:rPr>
          <w:rFonts w:ascii="仿宋_GB2312" w:hAnsi="黑体" w:hint="eastAsia"/>
        </w:rPr>
      </w:pPr>
      <w:bookmarkStart w:id="2" w:name="_Hlk100681882"/>
      <w:r w:rsidRPr="00C168F9">
        <w:rPr>
          <w:rFonts w:ascii="仿宋_GB2312" w:hAnsi="黑体" w:hint="eastAsia"/>
        </w:rPr>
        <w:t>指标1：信息化建设综合使用率，指标值：=100% ，实际完成值100，指标完成率100%，偏差原因：无。</w:t>
      </w:r>
      <w:bookmarkEnd w:id="2"/>
    </w:p>
    <w:p w14:paraId="0CAE9763"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3.项目实施的生态效益分析</w:t>
      </w:r>
    </w:p>
    <w:p w14:paraId="20F25A8D"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无。</w:t>
      </w:r>
    </w:p>
    <w:p w14:paraId="0C88A5CC"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4.项目实施的可持续影响分析</w:t>
      </w:r>
    </w:p>
    <w:p w14:paraId="714D3D07" w14:textId="77777777" w:rsidR="00B85C37" w:rsidRPr="00C168F9" w:rsidRDefault="00000000">
      <w:pPr>
        <w:spacing w:line="360" w:lineRule="auto"/>
        <w:ind w:firstLineChars="200" w:firstLine="600"/>
        <w:rPr>
          <w:rFonts w:ascii="仿宋_GB2312" w:hAnsi="黑体" w:hint="eastAsia"/>
        </w:rPr>
      </w:pPr>
      <w:r w:rsidRPr="00C168F9">
        <w:rPr>
          <w:rFonts w:ascii="仿宋_GB2312" w:hAnsi="黑体" w:hint="eastAsia"/>
        </w:rPr>
        <w:t>无。</w:t>
      </w:r>
    </w:p>
    <w:p w14:paraId="3B2B1F0B" w14:textId="77777777" w:rsidR="00B85C37" w:rsidRPr="00C168F9" w:rsidRDefault="00000000">
      <w:pPr>
        <w:pStyle w:val="ab"/>
        <w:spacing w:line="360" w:lineRule="auto"/>
        <w:ind w:left="420" w:firstLineChars="0" w:firstLine="0"/>
        <w:rPr>
          <w:rFonts w:ascii="仿宋_GB2312" w:hAnsi="黑体" w:cs="仿宋" w:hint="eastAsia"/>
          <w:szCs w:val="30"/>
        </w:rPr>
      </w:pPr>
      <w:r w:rsidRPr="00C168F9">
        <w:rPr>
          <w:rFonts w:ascii="仿宋_GB2312" w:hAnsi="黑体" w:cs="仿宋" w:hint="eastAsia"/>
          <w:szCs w:val="30"/>
        </w:rPr>
        <w:t>（五）满意度指标完成情况分析</w:t>
      </w:r>
    </w:p>
    <w:p w14:paraId="0052B940" w14:textId="77777777" w:rsidR="00B85C37" w:rsidRPr="00C168F9" w:rsidRDefault="00000000">
      <w:pPr>
        <w:pStyle w:val="ab"/>
        <w:spacing w:line="360" w:lineRule="auto"/>
        <w:ind w:left="420" w:firstLineChars="0" w:firstLine="0"/>
        <w:rPr>
          <w:rFonts w:ascii="仿宋_GB2312" w:hAnsi="黑体" w:cs="仿宋" w:hint="eastAsia"/>
          <w:szCs w:val="30"/>
        </w:rPr>
      </w:pPr>
      <w:r w:rsidRPr="00C168F9">
        <w:rPr>
          <w:rFonts w:ascii="仿宋_GB2312" w:hAnsi="黑体" w:cs="仿宋" w:hint="eastAsia"/>
          <w:szCs w:val="30"/>
        </w:rPr>
        <w:t>指标1：患者满意度，指标值：≥95% ，实际完成值95%，指标完成率100%，偏差原因：无。</w:t>
      </w:r>
    </w:p>
    <w:p w14:paraId="00996DF9" w14:textId="77777777" w:rsidR="00B85C37" w:rsidRPr="00C168F9" w:rsidRDefault="00B85C37">
      <w:pPr>
        <w:spacing w:line="360" w:lineRule="auto"/>
        <w:rPr>
          <w:rFonts w:ascii="仿宋_GB2312" w:hAnsi="黑体" w:cs="仿宋" w:hint="eastAsia"/>
          <w:szCs w:val="30"/>
        </w:rPr>
      </w:pPr>
    </w:p>
    <w:p w14:paraId="191C92E6" w14:textId="77777777" w:rsidR="00B85C37" w:rsidRPr="00C168F9" w:rsidRDefault="00B85C37">
      <w:pPr>
        <w:spacing w:line="360" w:lineRule="auto"/>
        <w:rPr>
          <w:rFonts w:ascii="仿宋_GB2312" w:hAnsi="黑体" w:cs="仿宋" w:hint="eastAsia"/>
          <w:szCs w:val="30"/>
        </w:rPr>
      </w:pPr>
    </w:p>
    <w:p w14:paraId="783C2E32" w14:textId="77777777" w:rsidR="00B85C37" w:rsidRPr="00C168F9" w:rsidRDefault="00000000">
      <w:pPr>
        <w:spacing w:line="360" w:lineRule="auto"/>
        <w:rPr>
          <w:rFonts w:ascii="仿宋_GB2312" w:hAnsi="黑体" w:cs="仿宋" w:hint="eastAsia"/>
          <w:b/>
          <w:bCs/>
          <w:szCs w:val="30"/>
        </w:rPr>
      </w:pPr>
      <w:bookmarkStart w:id="3" w:name="_Toc28962"/>
      <w:bookmarkStart w:id="4" w:name="_Toc6825"/>
      <w:r w:rsidRPr="00C168F9">
        <w:rPr>
          <w:rFonts w:ascii="仿宋_GB2312" w:hAnsi="黑体" w:cs="仿宋" w:hint="eastAsia"/>
          <w:b/>
          <w:bCs/>
          <w:szCs w:val="30"/>
        </w:rPr>
        <w:t>五、预算执行进度与绩效指标偏差</w:t>
      </w:r>
      <w:bookmarkEnd w:id="3"/>
      <w:bookmarkEnd w:id="4"/>
    </w:p>
    <w:p w14:paraId="37C532DE" w14:textId="77777777" w:rsidR="00B85C37" w:rsidRPr="00C168F9" w:rsidRDefault="00000000">
      <w:pPr>
        <w:spacing w:line="360" w:lineRule="auto"/>
        <w:rPr>
          <w:rFonts w:ascii="仿宋_GB2312" w:hAnsi="黑体" w:cs="仿宋" w:hint="eastAsia"/>
          <w:szCs w:val="30"/>
        </w:rPr>
      </w:pPr>
      <w:bookmarkStart w:id="5" w:name="_Toc10832"/>
      <w:bookmarkStart w:id="6" w:name="_Toc15026"/>
      <w:r w:rsidRPr="00C168F9">
        <w:rPr>
          <w:rFonts w:ascii="仿宋_GB2312" w:hAnsi="黑体" w:cs="仿宋" w:hint="eastAsia"/>
          <w:szCs w:val="30"/>
        </w:rPr>
        <w:t>（一）预算执行进度</w:t>
      </w:r>
      <w:bookmarkEnd w:id="5"/>
      <w:bookmarkEnd w:id="6"/>
    </w:p>
    <w:p w14:paraId="233D4E7C" w14:textId="77777777" w:rsidR="00B85C37" w:rsidRPr="00C168F9" w:rsidRDefault="00000000">
      <w:pPr>
        <w:spacing w:line="360" w:lineRule="auto"/>
        <w:rPr>
          <w:rFonts w:ascii="仿宋_GB2312" w:hAnsi="黑体" w:cs="仿宋" w:hint="eastAsia"/>
          <w:szCs w:val="30"/>
        </w:rPr>
      </w:pPr>
      <w:r w:rsidRPr="00C168F9">
        <w:rPr>
          <w:rFonts w:ascii="仿宋_GB2312" w:hAnsi="黑体" w:cs="仿宋" w:hint="eastAsia"/>
          <w:szCs w:val="30"/>
        </w:rPr>
        <w:t xml:space="preserve">    根据2023年木垒</w:t>
      </w:r>
      <w:proofErr w:type="gramStart"/>
      <w:r w:rsidRPr="00C168F9">
        <w:rPr>
          <w:rFonts w:ascii="仿宋_GB2312" w:hAnsi="黑体" w:cs="仿宋" w:hint="eastAsia"/>
          <w:szCs w:val="30"/>
        </w:rPr>
        <w:t>县能力</w:t>
      </w:r>
      <w:proofErr w:type="gramEnd"/>
      <w:r w:rsidRPr="00C168F9">
        <w:rPr>
          <w:rFonts w:ascii="仿宋_GB2312" w:hAnsi="黑体" w:cs="仿宋" w:hint="eastAsia"/>
          <w:szCs w:val="30"/>
        </w:rPr>
        <w:t>提升项目合同内容及工程进度，木垒哈萨克自治县人民医院于2023年5月29日拨付116.16万元至新疆万利科技有限公司、木垒哈萨克自治县人民医院于2023年5月29日拨付77.44万元至新疆万利科技有限公司、木垒哈萨克自治县人民医院于2023年7月25日拨付6.4万元至木垒县</w:t>
      </w:r>
      <w:proofErr w:type="gramStart"/>
      <w:r w:rsidRPr="00C168F9">
        <w:rPr>
          <w:rFonts w:ascii="仿宋_GB2312" w:hAnsi="黑体" w:cs="仿宋" w:hint="eastAsia"/>
          <w:szCs w:val="30"/>
        </w:rPr>
        <w:t>百木缘家电</w:t>
      </w:r>
      <w:proofErr w:type="gramEnd"/>
      <w:r w:rsidRPr="00C168F9">
        <w:rPr>
          <w:rFonts w:ascii="仿宋_GB2312" w:hAnsi="黑体" w:cs="仿宋" w:hint="eastAsia"/>
          <w:szCs w:val="30"/>
        </w:rPr>
        <w:t>家具城。截至2023年12月31日已执行200万元，预算执行率100%。</w:t>
      </w:r>
    </w:p>
    <w:p w14:paraId="01F8AABD" w14:textId="77777777" w:rsidR="00B85C37" w:rsidRPr="00C168F9" w:rsidRDefault="00000000">
      <w:pPr>
        <w:numPr>
          <w:ilvl w:val="0"/>
          <w:numId w:val="3"/>
        </w:numPr>
        <w:spacing w:line="360" w:lineRule="auto"/>
        <w:rPr>
          <w:rFonts w:ascii="仿宋_GB2312" w:hAnsi="黑体" w:cs="仿宋" w:hint="eastAsia"/>
          <w:szCs w:val="30"/>
        </w:rPr>
      </w:pPr>
      <w:bookmarkStart w:id="7" w:name="_Toc28090"/>
      <w:r w:rsidRPr="00C168F9">
        <w:rPr>
          <w:rFonts w:ascii="仿宋_GB2312" w:hAnsi="黑体" w:cs="仿宋" w:hint="eastAsia"/>
          <w:szCs w:val="30"/>
        </w:rPr>
        <w:t>绩效指标偏差</w:t>
      </w:r>
      <w:bookmarkEnd w:id="7"/>
    </w:p>
    <w:p w14:paraId="3BBAD746" w14:textId="77777777" w:rsidR="00B85C37" w:rsidRPr="00C168F9" w:rsidRDefault="00000000">
      <w:pPr>
        <w:spacing w:line="360" w:lineRule="auto"/>
        <w:rPr>
          <w:rFonts w:ascii="仿宋_GB2312" w:hAnsi="黑体" w:cs="仿宋" w:hint="eastAsia"/>
          <w:szCs w:val="30"/>
        </w:rPr>
      </w:pPr>
      <w:r w:rsidRPr="00C168F9">
        <w:rPr>
          <w:rFonts w:ascii="仿宋_GB2312" w:hAnsi="黑体" w:cs="仿宋" w:hint="eastAsia"/>
          <w:szCs w:val="30"/>
        </w:rPr>
        <w:t xml:space="preserve">      本项目绩效指标存在偏差的有：无。</w:t>
      </w:r>
    </w:p>
    <w:p w14:paraId="09E15E45" w14:textId="77777777" w:rsidR="00B85C37" w:rsidRPr="00C168F9" w:rsidRDefault="00000000">
      <w:pPr>
        <w:keepNext/>
        <w:keepLines/>
        <w:spacing w:before="340" w:after="330" w:line="360" w:lineRule="auto"/>
        <w:outlineLvl w:val="0"/>
        <w:rPr>
          <w:rFonts w:ascii="仿宋_GB2312" w:hAnsi="黑体" w:cs="仿宋" w:hint="eastAsia"/>
          <w:b/>
          <w:bCs/>
          <w:szCs w:val="30"/>
        </w:rPr>
      </w:pPr>
      <w:bookmarkStart w:id="8" w:name="_Toc30012"/>
      <w:bookmarkStart w:id="9" w:name="_Toc17549"/>
      <w:r w:rsidRPr="00C168F9">
        <w:rPr>
          <w:rFonts w:ascii="仿宋_GB2312" w:hAnsi="黑体" w:cs="仿宋" w:hint="eastAsia"/>
          <w:b/>
          <w:bCs/>
          <w:szCs w:val="30"/>
        </w:rPr>
        <w:t>六、主要经验及做法、存在的问题及原因分析</w:t>
      </w:r>
      <w:bookmarkEnd w:id="8"/>
      <w:bookmarkEnd w:id="9"/>
    </w:p>
    <w:p w14:paraId="25EA2C46" w14:textId="77777777" w:rsidR="00B85C37" w:rsidRPr="00C168F9" w:rsidRDefault="00000000">
      <w:pPr>
        <w:keepNext/>
        <w:keepLines/>
        <w:spacing w:before="260" w:after="260" w:line="360" w:lineRule="auto"/>
        <w:outlineLvl w:val="1"/>
        <w:rPr>
          <w:rFonts w:ascii="仿宋_GB2312" w:hAnsi="黑体" w:cs="仿宋" w:hint="eastAsia"/>
          <w:szCs w:val="30"/>
        </w:rPr>
      </w:pPr>
      <w:bookmarkStart w:id="10" w:name="_Toc68703843"/>
      <w:bookmarkStart w:id="11" w:name="_Toc13398"/>
      <w:r w:rsidRPr="00C168F9">
        <w:rPr>
          <w:rFonts w:ascii="仿宋_GB2312" w:hAnsi="黑体" w:cs="仿宋" w:hint="eastAsia"/>
          <w:szCs w:val="30"/>
        </w:rPr>
        <w:t>（一）主要经验及做法</w:t>
      </w:r>
      <w:bookmarkEnd w:id="10"/>
      <w:bookmarkEnd w:id="11"/>
    </w:p>
    <w:p w14:paraId="23B13D8B"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（1）是领导高度重视。专项资金预算下拨后，主要领导和分管领导高度重视，落实责任分工，确保项目顺利进行。</w:t>
      </w:r>
    </w:p>
    <w:p w14:paraId="6192B53E"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（2）是管理愈加规范。制定了专项资金管理工作制度，明确了资金付款流程，统一了资金申请手续，做到了层层审核、层层负责、层层把关，付款中全部要求请款单位提供正规发票，没用白条入账现象。</w:t>
      </w:r>
    </w:p>
    <w:p w14:paraId="543FEAC2"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（3）加强培训，提高工程管理水平。为提高项目管理人员对工</w:t>
      </w:r>
      <w:r w:rsidRPr="00C168F9">
        <w:rPr>
          <w:rFonts w:ascii="仿宋_GB2312" w:hAnsi="黑体" w:cs="仿宋" w:hint="eastAsia"/>
          <w:szCs w:val="30"/>
        </w:rPr>
        <w:lastRenderedPageBreak/>
        <w:t>程项目的管理水平，教育、建设部门组织了项目管理、施工安全等业务知识培训。通过实地参观安装现场管理和专业人员讲授，进一步</w:t>
      </w:r>
      <w:proofErr w:type="gramStart"/>
      <w:r w:rsidRPr="00C168F9">
        <w:rPr>
          <w:rFonts w:ascii="仿宋_GB2312" w:hAnsi="黑体" w:cs="仿宋" w:hint="eastAsia"/>
          <w:szCs w:val="30"/>
        </w:rPr>
        <w:t>规范工</w:t>
      </w:r>
      <w:proofErr w:type="gramEnd"/>
      <w:r w:rsidRPr="00C168F9">
        <w:rPr>
          <w:rFonts w:ascii="仿宋_GB2312" w:hAnsi="黑体" w:cs="仿宋" w:hint="eastAsia"/>
          <w:szCs w:val="30"/>
        </w:rPr>
        <w:t>建设程序、施工现场管理、安全管理、资料监督和资金管理，为顺利完成项目建设奠定了坚实的基础。</w:t>
      </w:r>
    </w:p>
    <w:p w14:paraId="331DE926"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p>
    <w:p w14:paraId="1D861406"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w:t>
      </w:r>
      <w:proofErr w:type="gramStart"/>
      <w:r w:rsidRPr="00C168F9">
        <w:rPr>
          <w:rFonts w:ascii="仿宋_GB2312" w:hAnsi="黑体" w:cs="仿宋" w:hint="eastAsia"/>
          <w:szCs w:val="30"/>
        </w:rPr>
        <w:t>编印承报上级</w:t>
      </w:r>
      <w:proofErr w:type="gramEnd"/>
      <w:r w:rsidRPr="00C168F9">
        <w:rPr>
          <w:rFonts w:ascii="仿宋_GB2312" w:hAnsi="黑体" w:cs="仿宋" w:hint="eastAsia"/>
          <w:szCs w:val="30"/>
        </w:rPr>
        <w:t>部门和各级领导。</w:t>
      </w:r>
    </w:p>
    <w:p w14:paraId="3BBAED04"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（二）后续工作计划</w:t>
      </w:r>
    </w:p>
    <w:p w14:paraId="0D238D32"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我们将进一步加强资金管理、项目管理，用制度、用规范来有效提高项目进度，专人负责资金、专人负责项目现场管理，确保该项目在既定时间内完成所有工程量，达到预期效果。</w:t>
      </w:r>
    </w:p>
    <w:p w14:paraId="27EC695E" w14:textId="77777777" w:rsidR="00B85C37" w:rsidRPr="00C168F9" w:rsidRDefault="00000000">
      <w:pPr>
        <w:keepNext/>
        <w:keepLines/>
        <w:spacing w:before="260" w:after="260" w:line="360" w:lineRule="auto"/>
        <w:outlineLvl w:val="1"/>
        <w:rPr>
          <w:rFonts w:ascii="仿宋_GB2312" w:hAnsi="黑体" w:cs="仿宋" w:hint="eastAsia"/>
          <w:szCs w:val="30"/>
        </w:rPr>
      </w:pPr>
      <w:bookmarkStart w:id="12" w:name="_Toc16865"/>
      <w:bookmarkStart w:id="13" w:name="_Toc68703844"/>
      <w:r w:rsidRPr="00C168F9">
        <w:rPr>
          <w:rFonts w:ascii="仿宋_GB2312" w:hAnsi="黑体" w:cs="仿宋" w:hint="eastAsia"/>
          <w:szCs w:val="30"/>
        </w:rPr>
        <w:t>（三）存在的问题及原因分析</w:t>
      </w:r>
      <w:bookmarkEnd w:id="12"/>
      <w:bookmarkEnd w:id="13"/>
    </w:p>
    <w:p w14:paraId="33930973"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1.存在的问题：</w:t>
      </w:r>
    </w:p>
    <w:p w14:paraId="2ADE5380"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lastRenderedPageBreak/>
        <w:t>项目前期工作不全面，没有深入细致科学规划地做好各项前期工作，项目实施前期已根据项目建设内容设置绩效目标，但项目绩效</w:t>
      </w:r>
      <w:proofErr w:type="gramStart"/>
      <w:r w:rsidRPr="00C168F9">
        <w:rPr>
          <w:rFonts w:ascii="仿宋_GB2312" w:hAnsi="黑体" w:cs="仿宋" w:hint="eastAsia"/>
          <w:szCs w:val="30"/>
        </w:rPr>
        <w:t>目标级</w:t>
      </w:r>
      <w:proofErr w:type="gramEnd"/>
      <w:r w:rsidRPr="00C168F9">
        <w:rPr>
          <w:rFonts w:ascii="仿宋_GB2312" w:hAnsi="黑体" w:cs="仿宋" w:hint="eastAsia"/>
          <w:szCs w:val="30"/>
        </w:rPr>
        <w:t>绩效指标设置过于笼统，不够细化，在实际实施绩效监控和绩效评价时较为困难。</w:t>
      </w:r>
    </w:p>
    <w:p w14:paraId="2E361D5C"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2.改进措施：</w:t>
      </w:r>
    </w:p>
    <w:p w14:paraId="6D110D50"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（1）科学编制预算，提高预算与目标匹配度</w:t>
      </w:r>
    </w:p>
    <w:p w14:paraId="4238AD6C"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p>
    <w:p w14:paraId="1361EFB7"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对此，预算单位会同财政部门共同梳理项目绩效目标，合理测算项目工作量，科学编制预算。</w:t>
      </w:r>
    </w:p>
    <w:p w14:paraId="2F35ED0A" w14:textId="77777777" w:rsidR="00B85C37" w:rsidRPr="00C168F9" w:rsidRDefault="00000000">
      <w:pPr>
        <w:keepNext/>
        <w:keepLines/>
        <w:spacing w:before="340" w:after="330" w:line="360" w:lineRule="auto"/>
        <w:outlineLvl w:val="0"/>
        <w:rPr>
          <w:rFonts w:ascii="仿宋_GB2312" w:hAnsi="黑体" w:cs="仿宋" w:hint="eastAsia"/>
          <w:b/>
          <w:bCs/>
          <w:szCs w:val="30"/>
        </w:rPr>
      </w:pPr>
      <w:bookmarkStart w:id="14" w:name="_Toc5497"/>
      <w:bookmarkStart w:id="15" w:name="_Toc68703845"/>
      <w:bookmarkStart w:id="16" w:name="_Toc26593"/>
      <w:r w:rsidRPr="00C168F9">
        <w:rPr>
          <w:rFonts w:ascii="仿宋_GB2312" w:hAnsi="黑体" w:cs="仿宋" w:hint="eastAsia"/>
          <w:b/>
          <w:bCs/>
          <w:szCs w:val="30"/>
        </w:rPr>
        <w:t>七、有关建议</w:t>
      </w:r>
      <w:bookmarkEnd w:id="14"/>
      <w:bookmarkEnd w:id="15"/>
      <w:bookmarkEnd w:id="16"/>
    </w:p>
    <w:p w14:paraId="42D35CE5"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1.开展进度的跟踪，确保项目绩效目标的完成。规范程序，严格把关。进一步完善项目申报、审核、公示、审批等程序，严格审核切实做好项目信息公开，公开内容要及时、完整、真实，确保项目公平、公开、公正。</w:t>
      </w:r>
    </w:p>
    <w:p w14:paraId="419F82E0" w14:textId="77777777" w:rsidR="00B85C37" w:rsidRPr="00C168F9" w:rsidRDefault="00000000">
      <w:pPr>
        <w:spacing w:line="360" w:lineRule="auto"/>
        <w:ind w:firstLineChars="200" w:firstLine="600"/>
        <w:rPr>
          <w:rFonts w:ascii="仿宋_GB2312" w:hAnsi="黑体" w:cs="仿宋" w:hint="eastAsia"/>
          <w:szCs w:val="30"/>
        </w:rPr>
      </w:pPr>
      <w:r w:rsidRPr="00C168F9">
        <w:rPr>
          <w:rFonts w:ascii="仿宋_GB2312" w:hAnsi="黑体" w:cs="仿宋" w:hint="eastAsia"/>
          <w:szCs w:val="30"/>
        </w:rPr>
        <w:t>2.健全制度，加强督促。针对项目实施中存在的问题，进一步完善相关制度，加强督促检查，确保质量安全和建设进度；同时及时完善资料，妥善保管档案。</w:t>
      </w:r>
    </w:p>
    <w:p w14:paraId="1F6CA25E" w14:textId="77777777" w:rsidR="00B85C37" w:rsidRPr="00C168F9" w:rsidRDefault="00B85C37">
      <w:pPr>
        <w:spacing w:line="360" w:lineRule="auto"/>
        <w:rPr>
          <w:rFonts w:ascii="仿宋_GB2312" w:hAnsi="黑体" w:cs="仿宋" w:hint="eastAsia"/>
          <w:szCs w:val="30"/>
        </w:rPr>
      </w:pPr>
    </w:p>
    <w:p w14:paraId="259DC592" w14:textId="77777777" w:rsidR="00B85C37" w:rsidRPr="00C168F9" w:rsidRDefault="00000000">
      <w:pPr>
        <w:keepNext/>
        <w:keepLines/>
        <w:spacing w:before="340" w:after="330" w:line="360" w:lineRule="auto"/>
        <w:outlineLvl w:val="0"/>
        <w:rPr>
          <w:rFonts w:ascii="仿宋_GB2312" w:hAnsi="黑体" w:cs="仿宋" w:hint="eastAsia"/>
          <w:b/>
          <w:bCs/>
          <w:szCs w:val="30"/>
        </w:rPr>
      </w:pPr>
      <w:bookmarkStart w:id="17" w:name="_Toc11577"/>
      <w:bookmarkStart w:id="18" w:name="_Toc68703846"/>
      <w:bookmarkStart w:id="19" w:name="_Toc12628"/>
      <w:r w:rsidRPr="00C168F9">
        <w:rPr>
          <w:rFonts w:ascii="仿宋_GB2312" w:hAnsi="黑体" w:cs="仿宋" w:hint="eastAsia"/>
          <w:b/>
          <w:bCs/>
          <w:szCs w:val="30"/>
        </w:rPr>
        <w:t>八、其他需要说明的问题</w:t>
      </w:r>
      <w:bookmarkEnd w:id="17"/>
      <w:bookmarkEnd w:id="18"/>
      <w:bookmarkEnd w:id="19"/>
    </w:p>
    <w:p w14:paraId="30B12837" w14:textId="77777777" w:rsidR="00B85C37" w:rsidRPr="00C168F9" w:rsidRDefault="00000000">
      <w:pPr>
        <w:spacing w:line="360" w:lineRule="auto"/>
        <w:jc w:val="left"/>
        <w:rPr>
          <w:rFonts w:ascii="仿宋_GB2312" w:hAnsi="黑体" w:cs="仿宋" w:hint="eastAsia"/>
          <w:szCs w:val="30"/>
        </w:rPr>
      </w:pPr>
      <w:r w:rsidRPr="00C168F9">
        <w:rPr>
          <w:rFonts w:ascii="仿宋_GB2312" w:hAnsi="黑体" w:cs="仿宋" w:hint="eastAsia"/>
          <w:szCs w:val="30"/>
        </w:rPr>
        <w:t>本次预算绩效评价所采集的数据因为采集时间、数据来源等诸多因素的影响，可能会出现一定的偏差，进而对评价结果存在影响。</w:t>
      </w:r>
    </w:p>
    <w:p w14:paraId="176085F9" w14:textId="77777777" w:rsidR="00B85C37" w:rsidRPr="00C168F9" w:rsidRDefault="00B85C37">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cs="仿宋" w:hint="eastAsia"/>
          <w:szCs w:val="30"/>
        </w:rPr>
      </w:pPr>
    </w:p>
    <w:p w14:paraId="6D005993" w14:textId="77777777" w:rsidR="00B85C37" w:rsidRPr="00C168F9" w:rsidRDefault="00B85C37">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p>
    <w:p w14:paraId="41795E7A" w14:textId="77777777" w:rsidR="00B85C37" w:rsidRPr="00C168F9" w:rsidRDefault="00B85C37">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p>
    <w:p w14:paraId="682A54BF" w14:textId="77777777" w:rsidR="00B85C37" w:rsidRPr="00C168F9" w:rsidRDefault="00B85C37">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p>
    <w:p w14:paraId="3B0208D7" w14:textId="77777777" w:rsidR="00B85C37" w:rsidRPr="00C168F9" w:rsidRDefault="00B85C37">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p>
    <w:p w14:paraId="5819F7B2" w14:textId="77777777" w:rsidR="00B85C37" w:rsidRPr="00C168F9" w:rsidRDefault="00B85C37">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p>
    <w:p w14:paraId="77404E76" w14:textId="77777777" w:rsidR="00B85C37" w:rsidRPr="00C168F9" w:rsidRDefault="00B85C37">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p>
    <w:p w14:paraId="790F0D29" w14:textId="77777777" w:rsidR="00B85C37" w:rsidRPr="00C168F9" w:rsidRDefault="00B85C37">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p>
    <w:p w14:paraId="5178C751" w14:textId="77777777" w:rsidR="00B85C37" w:rsidRPr="00C168F9" w:rsidRDefault="00B85C37">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sectPr w:rsidR="00B85C37" w:rsidRPr="00C168F9">
          <w:footerReference w:type="default" r:id="rId8"/>
          <w:pgSz w:w="11906" w:h="16838"/>
          <w:pgMar w:top="1928" w:right="1531" w:bottom="1701" w:left="1531" w:header="737" w:footer="851" w:gutter="0"/>
          <w:cols w:space="720"/>
          <w:docGrid w:type="lines" w:linePitch="408"/>
        </w:sectPr>
      </w:pPr>
    </w:p>
    <w:p w14:paraId="21835E25" w14:textId="77777777" w:rsidR="00B85C37" w:rsidRPr="00C168F9" w:rsidRDefault="00B85C37">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hint="eastAsia"/>
        </w:rPr>
      </w:pPr>
    </w:p>
    <w:sectPr w:rsidR="00B85C37" w:rsidRPr="00C168F9">
      <w:pgSz w:w="16838" w:h="11906" w:orient="landscape"/>
      <w:pgMar w:top="1531" w:right="1928" w:bottom="1531" w:left="1701" w:header="737" w:footer="851" w:gutter="0"/>
      <w:cols w:space="720"/>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80B4DD" w14:textId="77777777" w:rsidR="00EC6A55" w:rsidRDefault="00EC6A55">
      <w:r>
        <w:separator/>
      </w:r>
    </w:p>
  </w:endnote>
  <w:endnote w:type="continuationSeparator" w:id="0">
    <w:p w14:paraId="1AF5A1CD" w14:textId="77777777" w:rsidR="00EC6A55" w:rsidRDefault="00EC6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altName w:val="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auto"/>
    <w:pitch w:val="default"/>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altName w:val="仿宋"/>
    <w:panose1 w:val="02010609060101010101"/>
    <w:charset w:val="86"/>
    <w:family w:val="modern"/>
    <w:pitch w:val="default"/>
    <w:sig w:usb0="800002BF" w:usb1="38CF7CFA" w:usb2="00000016" w:usb3="00000000" w:csb0="00040001" w:csb1="00000000"/>
  </w:font>
  <w:font w:name="楷体">
    <w:altName w:val="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600AB" w14:textId="77777777" w:rsidR="00B85C37" w:rsidRDefault="00000000">
    <w:pPr>
      <w:pStyle w:val="a3"/>
      <w:jc w:val="center"/>
    </w:pPr>
    <w:r>
      <w:fldChar w:fldCharType="begin"/>
    </w:r>
    <w:r>
      <w:instrText>PAGE   \* MERGEFORMAT</w:instrText>
    </w:r>
    <w:r>
      <w:fldChar w:fldCharType="separate"/>
    </w:r>
    <w:r>
      <w:rPr>
        <w:lang w:val="zh-CN"/>
      </w:rPr>
      <w:t>2</w:t>
    </w:r>
    <w:r>
      <w:fldChar w:fldCharType="end"/>
    </w:r>
  </w:p>
  <w:p w14:paraId="25549191" w14:textId="77777777" w:rsidR="00B85C37" w:rsidRDefault="00B85C3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98667" w14:textId="77777777" w:rsidR="00EC6A55" w:rsidRDefault="00EC6A55">
      <w:r>
        <w:separator/>
      </w:r>
    </w:p>
  </w:footnote>
  <w:footnote w:type="continuationSeparator" w:id="0">
    <w:p w14:paraId="5A33E07F" w14:textId="77777777" w:rsidR="00EC6A55" w:rsidRDefault="00EC6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multiLevelType w:val="singleLevel"/>
    <w:tmpl w:val="228F2895"/>
    <w:lvl w:ilvl="0">
      <w:start w:val="2"/>
      <w:numFmt w:val="chineseCounting"/>
      <w:suff w:val="nothing"/>
      <w:lvlText w:val="（%1）"/>
      <w:lvlJc w:val="left"/>
      <w:rPr>
        <w:rFonts w:hint="eastAsia"/>
      </w:rPr>
    </w:lvl>
  </w:abstractNum>
  <w:abstractNum w:abstractNumId="1" w15:restartNumberingAfterBreak="0">
    <w:nsid w:val="00000001"/>
    <w:multiLevelType w:val="multilevel"/>
    <w:tmpl w:val="6D6D32BA"/>
    <w:lvl w:ilvl="0">
      <w:start w:val="1"/>
      <w:numFmt w:val="decimal"/>
      <w:lvlText w:val="%1."/>
      <w:lvlJc w:val="left"/>
      <w:pPr>
        <w:ind w:left="960" w:hanging="36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2" w15:restartNumberingAfterBreak="0">
    <w:nsid w:val="00000002"/>
    <w:multiLevelType w:val="multilevel"/>
    <w:tmpl w:val="7B425C79"/>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925847409">
    <w:abstractNumId w:val="2"/>
  </w:num>
  <w:num w:numId="2" w16cid:durableId="1356421239">
    <w:abstractNumId w:val="1"/>
  </w:num>
  <w:num w:numId="3" w16cid:durableId="1174416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5C37"/>
    <w:rsid w:val="005F7F05"/>
    <w:rsid w:val="00B85C37"/>
    <w:rsid w:val="00C168F9"/>
    <w:rsid w:val="00EC6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F7C2D"/>
  <w15:docId w15:val="{706B65DA-36B4-4B1E-BA9D-2642E296F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仿宋_GB2312" w:hAnsi="Times New Roman"/>
      <w:kern w:val="2"/>
      <w:sz w:val="30"/>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Cambria" w:eastAsia="宋体" w:hAnsi="Cambria" w:cs="宋体"/>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paragraph" w:styleId="a7">
    <w:name w:val="footnote text"/>
    <w:basedOn w:val="a"/>
    <w:link w:val="a8"/>
    <w:qFormat/>
    <w:pPr>
      <w:snapToGrid w:val="0"/>
      <w:jc w:val="left"/>
    </w:pPr>
    <w:rPr>
      <w:sz w:val="18"/>
      <w:szCs w:val="18"/>
    </w:rPr>
  </w:style>
  <w:style w:type="paragraph" w:styleId="a9">
    <w:name w:val="Normal (Web)"/>
    <w:basedOn w:val="a"/>
    <w:uiPriority w:val="99"/>
    <w:qFormat/>
    <w:pPr>
      <w:spacing w:beforeAutospacing="1" w:afterAutospacing="1"/>
      <w:jc w:val="left"/>
    </w:pPr>
    <w:rPr>
      <w:kern w:val="0"/>
      <w:sz w:val="24"/>
    </w:rPr>
  </w:style>
  <w:style w:type="character" w:styleId="aa">
    <w:name w:val="Strong"/>
    <w:basedOn w:val="a0"/>
    <w:qFormat/>
    <w:rPr>
      <w:b/>
      <w:bCs/>
    </w:rPr>
  </w:style>
  <w:style w:type="character" w:customStyle="1" w:styleId="a6">
    <w:name w:val="页眉 字符"/>
    <w:basedOn w:val="a0"/>
    <w:link w:val="a5"/>
    <w:uiPriority w:val="99"/>
    <w:qFormat/>
    <w:rPr>
      <w:rFonts w:ascii="Times New Roman" w:eastAsia="仿宋_GB2312" w:hAnsi="Times New Roman" w:cs="Times New Roman"/>
      <w:sz w:val="18"/>
      <w:szCs w:val="18"/>
    </w:rPr>
  </w:style>
  <w:style w:type="character" w:customStyle="1" w:styleId="a4">
    <w:name w:val="页脚 字符"/>
    <w:basedOn w:val="a0"/>
    <w:link w:val="a3"/>
    <w:uiPriority w:val="99"/>
    <w:qFormat/>
    <w:rPr>
      <w:rFonts w:ascii="Times New Roman" w:eastAsia="仿宋_GB2312" w:hAnsi="Times New Roman" w:cs="Times New Roman"/>
      <w:sz w:val="18"/>
      <w:szCs w:val="18"/>
    </w:rPr>
  </w:style>
  <w:style w:type="paragraph" w:styleId="ab">
    <w:name w:val="List Paragraph"/>
    <w:basedOn w:val="a"/>
    <w:uiPriority w:val="34"/>
    <w:qFormat/>
    <w:pPr>
      <w:ind w:firstLineChars="200" w:firstLine="420"/>
    </w:pPr>
  </w:style>
  <w:style w:type="character" w:customStyle="1" w:styleId="10">
    <w:name w:val="标题 1 字符"/>
    <w:basedOn w:val="a0"/>
    <w:link w:val="1"/>
    <w:uiPriority w:val="9"/>
    <w:qFormat/>
    <w:rPr>
      <w:rFonts w:ascii="Times New Roman" w:eastAsia="仿宋_GB2312" w:hAnsi="Times New Roman" w:cs="Times New Roman"/>
      <w:b/>
      <w:bCs/>
      <w:kern w:val="44"/>
      <w:sz w:val="44"/>
      <w:szCs w:val="44"/>
    </w:rPr>
  </w:style>
  <w:style w:type="character" w:customStyle="1" w:styleId="20">
    <w:name w:val="标题 2 字符"/>
    <w:basedOn w:val="a0"/>
    <w:link w:val="2"/>
    <w:uiPriority w:val="9"/>
    <w:rPr>
      <w:rFonts w:ascii="Cambria" w:eastAsia="宋体" w:hAnsi="Cambria" w:cs="宋体"/>
      <w:b/>
      <w:bCs/>
      <w:kern w:val="2"/>
      <w:sz w:val="32"/>
      <w:szCs w:val="32"/>
    </w:rPr>
  </w:style>
  <w:style w:type="character" w:customStyle="1" w:styleId="30">
    <w:name w:val="标题 3 字符"/>
    <w:basedOn w:val="a0"/>
    <w:link w:val="3"/>
    <w:uiPriority w:val="9"/>
    <w:rPr>
      <w:rFonts w:ascii="Times New Roman" w:eastAsia="仿宋_GB2312" w:hAnsi="Times New Roman" w:cs="Times New Roman"/>
      <w:b/>
      <w:bCs/>
      <w:kern w:val="2"/>
      <w:sz w:val="32"/>
      <w:szCs w:val="32"/>
    </w:rPr>
  </w:style>
  <w:style w:type="character" w:customStyle="1" w:styleId="a8">
    <w:name w:val="脚注文本 字符"/>
    <w:basedOn w:val="a0"/>
    <w:link w:val="a7"/>
    <w:rPr>
      <w:rFonts w:ascii="Times New Roman" w:eastAsia="仿宋_GB2312"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1185</Words>
  <Characters>6761</Characters>
  <Application>Microsoft Office Word</Application>
  <DocSecurity>0</DocSecurity>
  <Lines>56</Lines>
  <Paragraphs>15</Paragraphs>
  <ScaleCrop>false</ScaleCrop>
  <Company>Lenovo</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闫超</dc:creator>
  <cp:lastModifiedBy>慧 吉</cp:lastModifiedBy>
  <cp:revision>142</cp:revision>
  <dcterms:created xsi:type="dcterms:W3CDTF">2020-03-27T10:27:00Z</dcterms:created>
  <dcterms:modified xsi:type="dcterms:W3CDTF">2024-08-17T05:44:00Z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4f467c53c5ee427fb58097e584674f9d_23</vt:lpwstr>
  </property>
</Properties>
</file>